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before="1240"/>
        <w:jc w:val="center"/>
      </w:pPr>
      <w:r>
        <w:t>ДОКТРИНА</w:t>
        <w:br/>
        <w:t>ОБЩЕСТВЕННОГО ПОРУЧЕНИЯ</w:t>
      </w:r>
    </w:p>
    <w:p>
      <w:pPr>
        <w:pStyle w:val="Subtitle"/>
        <w:widowControl/>
        <w:jc w:val="center"/>
      </w:pPr>
      <w:r>
        <w:t>Окончательная универсальная мастер-версия 2.1</w:t>
      </w:r>
    </w:p>
    <w:p>
      <w:pPr>
        <w:widowControl/>
        <w:jc w:val="center"/>
      </w:pPr>
      <w:r>
        <w:rPr>
          <w:b/>
          <w:color w:val="1F4E79"/>
          <w:sz w:val="26"/>
        </w:rPr>
        <w:t>Главы I–XXXVII · приложения A–F</w:t>
      </w:r>
    </w:p>
    <w:p>
      <w:pPr>
        <w:widowControl/>
      </w:pPr>
    </w:p>
    <w:p>
      <w:pPr>
        <w:widowControl/>
      </w:pPr>
    </w:p>
    <w:tbl>
      <w:tblPr>
        <w:tblW w:type="auto" w:w="0"/>
        <w:jc w:val="center"/>
        <w:tblLayout w:type="fixed"/>
        <w:tblLook w:firstColumn="1" w:firstRow="1" w:lastColumn="0" w:lastRow="0" w:noHBand="0" w:noVBand="1" w:val="04A0"/>
      </w:tblPr>
      <w:tblGrid>
        <w:gridCol w:w="8957"/>
      </w:tblGrid>
      <w:tr>
        <w:trPr>
          <w:cantSplit/>
          <w:tblHeader w:val="true"/>
        </w:trPr>
        <w:tc>
          <w:tcPr>
            <w:tcW w:type="dxa" w:w="9951"/>
            <w:shd w:fill="17365D"/>
            <w:vAlign w:val="center"/>
          </w:tcPr>
          <w:p>
            <w:pPr>
              <w:jc w:val="center"/>
            </w:pPr>
            <w:r>
              <w:rPr>
                <w:b/>
                <w:color w:val="FFFFFF"/>
                <w:sz w:val="18"/>
              </w:rPr>
            </w:r>
            <w:r>
              <w:rPr>
                <w:color w:val="FFFFFF"/>
                <w:sz w:val="18"/>
              </w:rPr>
              <w:t>СТАТУС: ОКОНЧАТЕЛЬНАЯ УНИВЕРСАЛЬНАЯ МАСТЕР-ВЕРСИЯ 2.1</w:t>
              <w:br/>
              <w:t>Завершены сквозная юридико-институциональная гармонизация, повторная враждебная проверка, терминологическая регрессия, аудит прав человека, цифровой архитектуры, перекрёстных ссылок и структуры документа.</w:t>
              <w:br/>
              <w:t>Документ является единым универсальным первоисточником для последующих национальных адаптаций. Он не подменяет конституционную экспертизу, пилотирование и техническую сертификацию конкретной страны.</w:t>
            </w:r>
          </w:p>
        </w:tc>
      </w:tr>
    </w:tbl>
    <w:p>
      <w:pPr>
        <w:widowControl/>
        <w:spacing w:before="800"/>
        <w:jc w:val="center"/>
      </w:pPr>
      <w:r>
        <w:t>Универсальная модель · PRO-верификация завершена · август 2026 года</w:t>
      </w:r>
    </w:p>
    <w:p>
      <w:pPr>
        <w:widowControl/>
      </w:pPr>
      <w:r>
        <w:br w:type="page"/>
      </w:r>
    </w:p>
    <w:p>
      <w:pPr>
        <w:pStyle w:val="Heading1"/>
        <w:keepNext/>
        <w:widowControl/>
      </w:pPr>
      <w:r>
        <w:t>Статус и назначение редакции</w:t>
      </w:r>
    </w:p>
    <w:p>
      <w:pPr>
        <w:widowControl/>
      </w:pPr>
      <w:r>
        <w:t>Настоящий документ представляет окончательную универсальную мастер-версию Доктрины общественного поручения 2.1. Он сформирован после последовательной переработки всех тридцати семи глав, независимого стресс-теста редакции 1.1, анализа в режиме «Адвокат дьявола», повторного стресс-теста редакции 2.0, сквозной гармонизации и нормативной регрессионной проверки редакции 2.1.</w:t>
      </w:r>
    </w:p>
    <w:p>
      <w:pPr>
        <w:widowControl/>
      </w:pPr>
      <w:r>
        <w:rPr>
          <w:b w:val="0"/>
        </w:rPr>
        <w:t>Редакция является универсальной: она устанавливает концептуальное ядро, правовые пределы, функциональные требования и архитектурные гарантии, но не подменяет конституционный порядок конкретного государства. Национальное применение требует отдельного профиля адаптации, в котором определяются компетентные институты, правовые формы, сроки, пороги и способы законодательного закрепления.</w:t>
      </w:r>
    </w:p>
    <w:p>
      <w:pPr>
        <w:widowControl/>
      </w:pPr>
      <w:r>
        <w:rPr>
          <w:b/>
        </w:rPr>
        <w:t>Центральный принцип сохранён без изменения: общество определяет цели; государство определяет способы; ответственность разделена; результат общий.</w:t>
      </w:r>
    </w:p>
    <w:p>
      <w:pPr>
        <w:widowControl/>
      </w:pPr>
      <w:r>
        <w:t>Редакция 2.1 включает полный набор корректировок C2.1-01–C2.1-24 и финальную PRO-гармонизацию понятий, кандидатского режима, статусов общественного результата, общественного мандата как официального документа, реестра подотчётной реализации, цифровой терминологии, приложений и перекрёстных ссылок.</w:t>
      </w:r>
    </w:p>
    <w:p>
      <w:pPr>
        <w:widowControl/>
      </w:pPr>
      <w:r>
        <w:t>Статус редакции: окончательная универсальная мастер-версия Доктрины 2.1. Она завершает текущий цикл внутренней архитектурной, юридической, институциональной, правозащитной, цифровой и редакционной переработки. Любое последующее изменение универсального текста должно оформляться как новая версия с самостоятельным реестром изменений, повторным стресс-тестом и регрессионной проверкой.</w:t>
      </w:r>
    </w:p>
    <w:p>
      <w:pPr>
        <w:pStyle w:val="Heading2"/>
        <w:keepNext/>
      </w:pPr>
      <w:r>
        <w:t>Область окончательности</w:t>
      </w:r>
    </w:p>
    <w:p>
      <w:pPr/>
      <w:r>
        <w:t>Окончательность настоящей редакции означает, что универсальная концептуальная и нормативно-политическая архитектура Доктрины завершена, все известные внутренние коллизии текущего цикла рассмотрены, а механизмы глав I–XXXVII и приложений согласованы между собой.</w:t>
      </w:r>
    </w:p>
    <w:p>
      <w:pPr/>
      <w:r>
        <w:t>Окончательность не означает:</w:t>
      </w:r>
    </w:p>
    <w:p>
      <w:pPr>
        <w:pStyle w:val="ListBullet"/>
      </w:pPr>
      <w:r>
        <w:t>автоматическую конституционность Доктрины в любой стране без национальной адаптации;</w:t>
      </w:r>
    </w:p>
    <w:p>
      <w:pPr>
        <w:pStyle w:val="ListBullet"/>
      </w:pPr>
      <w:r>
        <w:t>эмпирическое доказательство эффективности до проведения независимых пилотов;</w:t>
      </w:r>
    </w:p>
    <w:p>
      <w:pPr>
        <w:pStyle w:val="ListBullet"/>
      </w:pPr>
      <w:r>
        <w:t>сертификацию конкретной цифровой, криптографической или организационной реализации;</w:t>
      </w:r>
    </w:p>
    <w:p>
      <w:pPr>
        <w:pStyle w:val="ListBullet"/>
      </w:pPr>
      <w:r>
        <w:t>готовую смету либо универсальные числовые пороги для государств различного масштаба;</w:t>
      </w:r>
    </w:p>
    <w:p>
      <w:pPr>
        <w:pStyle w:val="ListBullet"/>
      </w:pPr>
      <w:r>
        <w:t>замену национальной юридической, бюджетной, правозащитной и академической экспертизы.</w:t>
      </w:r>
    </w:p>
    <w:p>
      <w:pPr/>
      <w:r>
        <w:t>Эти пределы не делают редакцию рабочей или предварительной: они отделяют завершённость универсального первоисточника от последующих национальных, эмпирических и технических стадий его применения.</w:t>
      </w:r>
    </w:p>
    <w:tbl>
      <w:tblPr>
        <w:tblW w:type="auto" w:w="0"/>
        <w:jc w:val="center"/>
        <w:tblLayout w:type="fixed"/>
        <w:tblLook w:firstColumn="1" w:firstRow="1" w:lastColumn="0" w:lastRow="0" w:noHBand="0" w:noVBand="1" w:val="04A0"/>
      </w:tblPr>
      <w:tblGrid>
        <w:gridCol w:w="9524"/>
      </w:tblGrid>
      <w:tr>
        <w:trPr>
          <w:cantSplit/>
          <w:tblHeader w:val="true"/>
        </w:trPr>
        <w:tc>
          <w:tcPr>
            <w:tcW w:type="dxa" w:w="9951"/>
            <w:shd w:fill="D9EAF7"/>
            <w:vAlign w:val="center"/>
          </w:tcPr>
          <w:p>
            <w:pPr>
              <w:spacing w:after="40"/>
              <w:jc w:val="center"/>
            </w:pPr>
            <w:r>
              <w:rPr>
                <w:rFonts w:ascii="Carlito" w:hAnsi="Carlito"/>
                <w:b/>
                <w:color w:val="17365D"/>
                <w:sz w:val="22"/>
              </w:rPr>
              <w:t>ОБЩЕСТВО ОПРЕДЕЛЯЕТ ЦЕЛИ. ГОСУДАРСТВО ОПРЕДЕЛЯЕТ СПОСОБЫ.</w:t>
              <w:br/>
              <w:t>ОТВЕТСТВЕННОСТЬ РАЗДЕЛЕНА. РЕЗУЛЬТАТ ОБЩИЙ.</w:t>
            </w:r>
          </w:p>
        </w:tc>
      </w:tr>
    </w:tbl>
    <w:p>
      <w:pPr>
        <w:widowControl/>
      </w:pPr>
      <w:r>
        <w:br w:type="page"/>
      </w:r>
    </w:p>
    <w:p>
      <w:pPr>
        <w:pStyle w:val="Heading1"/>
        <w:keepNext/>
        <w:widowControl/>
      </w:pPr>
      <w:r>
        <w:t>Оглавление</w:t>
      </w:r>
    </w:p>
    <w:p>
      <w:pPr>
        <w:pStyle w:val="TOCChapter"/>
      </w:pPr>
      <w:r>
        <w:t>Глава I. Основания для разработки Доктрины</w:t>
        <w:tab/>
        <w:t>3</w:t>
      </w:r>
    </w:p>
    <w:p>
      <w:pPr>
        <w:pStyle w:val="TOCChapter"/>
      </w:pPr>
      <w:r>
        <w:t>Глава II. Понятие общественного поручения</w:t>
        <w:tab/>
        <w:t>7</w:t>
      </w:r>
    </w:p>
    <w:p>
      <w:pPr>
        <w:pStyle w:val="TOCChapter"/>
      </w:pPr>
      <w:r>
        <w:t>Глава III. Цель, задачи и пределы Доктрины</w:t>
        <w:tab/>
        <w:t>12</w:t>
      </w:r>
    </w:p>
    <w:p>
      <w:pPr>
        <w:pStyle w:val="TOCChapter"/>
      </w:pPr>
      <w:r>
        <w:t>Глава IV. Основные принципы Доктрины</w:t>
        <w:tab/>
        <w:t>17</w:t>
      </w:r>
    </w:p>
    <w:p>
      <w:pPr>
        <w:pStyle w:val="TOCChapter"/>
      </w:pPr>
      <w:r>
        <w:t>Глава V. Правовая природа и обязательность общественного поручения</w:t>
        <w:tab/>
        <w:t>22</w:t>
      </w:r>
    </w:p>
    <w:p>
      <w:pPr>
        <w:pStyle w:val="TOCChapter"/>
      </w:pPr>
      <w:r>
        <w:t>Глава VI. Субъекты, адресаты и уровни общественного поручения</w:t>
        <w:tab/>
        <w:t>30</w:t>
      </w:r>
    </w:p>
    <w:p>
      <w:pPr>
        <w:pStyle w:val="TOCChapter"/>
      </w:pPr>
      <w:r>
        <w:t>Глава VII. Распределение ролей, полномочий и ответственности в полном цикле общественного поручения</w:t>
        <w:tab/>
        <w:t>35</w:t>
      </w:r>
    </w:p>
    <w:p>
      <w:pPr>
        <w:pStyle w:val="TOCChapter"/>
      </w:pPr>
      <w:r>
        <w:t>Глава VIII. Институциональная система Доктрины</w:t>
        <w:tab/>
        <w:t>41</w:t>
      </w:r>
    </w:p>
    <w:p>
      <w:pPr>
        <w:pStyle w:val="TOCChapter"/>
      </w:pPr>
      <w:r>
        <w:t>Глава IX. Независимость, подотчётность и защита системы от захвата</w:t>
        <w:tab/>
        <w:t>46</w:t>
      </w:r>
    </w:p>
    <w:p>
      <w:pPr>
        <w:pStyle w:val="TOCChapter"/>
      </w:pPr>
      <w:r>
        <w:t>Глава X. Право общественной инициативы</w:t>
        <w:tab/>
        <w:t>52</w:t>
      </w:r>
    </w:p>
    <w:p>
      <w:pPr>
        <w:pStyle w:val="TOCChapter"/>
      </w:pPr>
      <w:r>
        <w:t>Глава XI. Каналы общественного участия и инфраструктура доступности</w:t>
        <w:tab/>
        <w:t>55</w:t>
      </w:r>
    </w:p>
    <w:p>
      <w:pPr>
        <w:pStyle w:val="TOCChapter"/>
      </w:pPr>
      <w:r>
        <w:t>Глава XII. Поддержка инициатив и обеспечение представительности</w:t>
        <w:tab/>
        <w:t>58</w:t>
      </w:r>
    </w:p>
    <w:p>
      <w:pPr>
        <w:pStyle w:val="TOCChapter"/>
      </w:pPr>
      <w:r>
        <w:t>Глава XIII. Объединение, редакционная обработка и защита смысловой целостности инициатив</w:t>
        <w:tab/>
        <w:t>61</w:t>
      </w:r>
    </w:p>
    <w:p>
      <w:pPr>
        <w:pStyle w:val="TOCChapter"/>
      </w:pPr>
      <w:r>
        <w:t>Глава XIV. Экспертиза последствий общественных инициатив</w:t>
        <w:tab/>
        <w:t>64</w:t>
      </w:r>
    </w:p>
    <w:p>
      <w:pPr>
        <w:pStyle w:val="TOCChapter"/>
      </w:pPr>
      <w:r>
        <w:t>Глава XV. Проверка правовой допустимости общественных инициатив</w:t>
        <w:tab/>
        <w:t>67</w:t>
      </w:r>
    </w:p>
    <w:p>
      <w:pPr>
        <w:pStyle w:val="TOCChapter"/>
      </w:pPr>
      <w:r>
        <w:t>Глава XVI. Общественное обсуждение инициатив</w:t>
        <w:tab/>
        <w:t>70</w:t>
      </w:r>
    </w:p>
    <w:p>
      <w:pPr>
        <w:pStyle w:val="TOCChapter"/>
      </w:pPr>
      <w:r>
        <w:t>Глава XVII. Предварительный отбор общественных инициатив</w:t>
        <w:tab/>
        <w:t>73</w:t>
      </w:r>
    </w:p>
    <w:p>
      <w:pPr>
        <w:pStyle w:val="TOCChapter"/>
      </w:pPr>
      <w:r>
        <w:t>Глава XVIII. Финальное голосование и утверждение общественного поручения</w:t>
        <w:tab/>
        <w:t>77</w:t>
      </w:r>
    </w:p>
    <w:p>
      <w:pPr>
        <w:pStyle w:val="TOCChapter"/>
      </w:pPr>
      <w:r>
        <w:t>Глава XIX. Общественный мандат как официальный документ</w:t>
        <w:tab/>
        <w:t>85</w:t>
      </w:r>
    </w:p>
    <w:p>
      <w:pPr>
        <w:pStyle w:val="TOCChapter"/>
      </w:pPr>
      <w:r>
        <w:t>Глава XX. Декларация кандидата по общественному мандату</w:t>
        <w:tab/>
        <w:t>92</w:t>
      </w:r>
    </w:p>
    <w:p>
      <w:pPr>
        <w:pStyle w:val="TOCChapter"/>
      </w:pPr>
      <w:r>
        <w:t>Глава XXI. Формы позиции кандидата и пределы их официального толкования</w:t>
        <w:tab/>
        <w:t>98</w:t>
      </w:r>
    </w:p>
    <w:p>
      <w:pPr>
        <w:pStyle w:val="TOCChapter"/>
      </w:pPr>
      <w:r>
        <w:t>Глава XXII. Официальное информирование избирателя и сопоставимое представление позиций кандидатов</w:t>
        <w:tab/>
        <w:t>102</w:t>
      </w:r>
    </w:p>
    <w:p>
      <w:pPr>
        <w:pStyle w:val="TOCChapter"/>
      </w:pPr>
      <w:r>
        <w:t>Глава XXIII. Последствия избрания и реестр подотчётной реализации</w:t>
        <w:tab/>
        <w:t>108</w:t>
      </w:r>
    </w:p>
    <w:p>
      <w:pPr>
        <w:pStyle w:val="TOCChapter"/>
      </w:pPr>
      <w:r>
        <w:t>Глава XXIV. План реализации принятых положений</w:t>
        <w:tab/>
        <w:t>116</w:t>
      </w:r>
    </w:p>
    <w:p>
      <w:pPr>
        <w:pStyle w:val="TOCChapter"/>
      </w:pPr>
      <w:r>
        <w:t>Глава XXV. Текущий мониторинг, открытые данные и промежуточная отчётность</w:t>
        <w:tab/>
        <w:t>120</w:t>
      </w:r>
    </w:p>
    <w:p>
      <w:pPr>
        <w:pStyle w:val="TOCChapter"/>
      </w:pPr>
      <w:r>
        <w:t>Глава XXVI. Промежуточная оценка исполнения и корректировка курса</w:t>
        <w:tab/>
        <w:t>123</w:t>
      </w:r>
    </w:p>
    <w:p>
      <w:pPr>
        <w:pStyle w:val="TOCChapter"/>
      </w:pPr>
      <w:r>
        <w:t>Глава XXVII. Пересмотр, приостановление, замена и прекращение принятых положений</w:t>
        <w:tab/>
        <w:t>126</w:t>
      </w:r>
    </w:p>
    <w:p>
      <w:pPr>
        <w:pStyle w:val="TOCChapter"/>
      </w:pPr>
      <w:r>
        <w:t>Глава XXVIII. Итоговая оценка исполнения общественного мандата</w:t>
        <w:tab/>
        <w:t>129</w:t>
      </w:r>
    </w:p>
    <w:p>
      <w:pPr>
        <w:pStyle w:val="TOCChapter"/>
      </w:pPr>
      <w:r>
        <w:t>Глава XXIX. Последствия итоговой оценки и формы публичной ответственности</w:t>
        <w:tab/>
        <w:t>132</w:t>
      </w:r>
    </w:p>
    <w:p>
      <w:pPr>
        <w:pStyle w:val="TOCChapter"/>
      </w:pPr>
      <w:r>
        <w:t>Глава XXX. Новый цикл общественного поручения и институциональная память</w:t>
        <w:tab/>
        <w:t>135</w:t>
      </w:r>
    </w:p>
    <w:p>
      <w:pPr>
        <w:pStyle w:val="TOCChapter"/>
      </w:pPr>
      <w:r>
        <w:t>Глава XXXI. Пилотирование, экспериментальная апробация и поэтапное внедрение Доктрины</w:t>
        <w:tab/>
        <w:t>138</w:t>
      </w:r>
    </w:p>
    <w:p>
      <w:pPr>
        <w:pStyle w:val="TOCChapter"/>
      </w:pPr>
      <w:r>
        <w:t>Глава XXXII. Конституционное, законодательное и организационное закрепление Доктрины</w:t>
        <w:tab/>
        <w:t>144</w:t>
      </w:r>
    </w:p>
    <w:p>
      <w:pPr>
        <w:pStyle w:val="TOCChapter"/>
      </w:pPr>
      <w:r>
        <w:t>Глава XXXIII. Финансирование системы общественного поручения и защита от финансового захвата</w:t>
        <w:tab/>
        <w:t>149</w:t>
      </w:r>
    </w:p>
    <w:p>
      <w:pPr>
        <w:pStyle w:val="TOCChapter"/>
      </w:pPr>
      <w:r>
        <w:t>Глава XXXIV. Конфликты интересов, лоббизм и защита от скрытого влияния</w:t>
        <w:tab/>
        <w:t>154</w:t>
      </w:r>
    </w:p>
    <w:p>
      <w:pPr>
        <w:pStyle w:val="TOCChapter"/>
      </w:pPr>
      <w:r>
        <w:t>Глава XXXV. Информационная целостность, происхождение политической коммуникации и защита общественного обсуждения</w:t>
        <w:tab/>
        <w:t>159</w:t>
      </w:r>
    </w:p>
    <w:p>
      <w:pPr>
        <w:pStyle w:val="TOCChapter"/>
      </w:pPr>
      <w:r>
        <w:t>Глава XXXVI. Кибербезопасность, целостность голосования и устойчивость цифровой инфраструктуры</w:t>
        <w:tab/>
        <w:t>165</w:t>
      </w:r>
    </w:p>
    <w:p>
      <w:pPr>
        <w:pStyle w:val="TOCChapter"/>
      </w:pPr>
      <w:r>
        <w:t>Глава XXXVII. Персональные данные, цифровая идентичность и тайна политического участия</w:t>
        <w:tab/>
        <w:t>171</w:t>
      </w:r>
    </w:p>
    <w:p>
      <w:pPr>
        <w:pStyle w:val="TOCChapter"/>
      </w:pPr>
      <w:r>
        <w:t>Приложение A. Нормативная регрессионная проверка редакции 2.1</w:t>
        <w:tab/>
        <w:t>177</w:t>
      </w:r>
    </w:p>
    <w:p>
      <w:pPr>
        <w:pStyle w:val="TOCChapter"/>
      </w:pPr>
      <w:r>
        <w:t>Приложение B. Итоговая диагностика и матрица учёта возражений</w:t>
        <w:tab/>
        <w:t>179</w:t>
      </w:r>
    </w:p>
    <w:p>
      <w:pPr>
        <w:pStyle w:val="TOCChapter"/>
      </w:pPr>
      <w:r>
        <w:t>Приложение C. Реестр системных изменений редакции 2.1</w:t>
        <w:tab/>
        <w:t>210</w:t>
      </w:r>
    </w:p>
    <w:p>
      <w:pPr>
        <w:pStyle w:val="TOCChapter"/>
      </w:pPr>
      <w:r>
        <w:t>Приложение D. Повторный финальный стресс-тест редакции 2.1</w:t>
        <w:tab/>
        <w:t>214</w:t>
      </w:r>
    </w:p>
    <w:p>
      <w:pPr>
        <w:pStyle w:val="TOCChapter"/>
      </w:pPr>
      <w:r>
        <w:t>Приложение E. Аудит концептуальной неизменности</w:t>
        <w:tab/>
        <w:t>224</w:t>
      </w:r>
    </w:p>
    <w:p>
      <w:pPr>
        <w:pStyle w:val="TOCChapter"/>
      </w:pPr>
      <w:r>
        <w:t>Приложение F. Международно-правовые и методологические ориентиры</w:t>
        <w:tab/>
        <w:t>227</w:t>
      </w:r>
    </w:p>
    <w:p>
      <w:pPr>
        <w:pStyle w:val="TOCChapter"/>
      </w:pPr>
      <w:r>
        <w:t>Финальное заключение о статусе редакции</w:t>
        <w:tab/>
        <w:t>229</w:t>
      </w:r>
    </w:p>
    <w:p>
      <w:pPr/>
      <w:r>
        <w:rPr>
          <w:i/>
          <w:sz w:val="17"/>
        </w:rPr>
        <w:t>Номера страниц в оглавлении сформированы после окончательной вёрстки и проверены по финальному PDF-рендеру.</w:t>
      </w:r>
    </w:p>
    <w:p>
      <w:pPr>
        <w:pStyle w:val="Heading1"/>
        <w:keepNext/>
        <w:pageBreakBefore/>
        <w:spacing w:before="0" w:after="160"/>
        <w:widowControl/>
        <w:pBdr>
          <w:bottom w:val="single" w:sz="5" w:space="4" w:color="B4C6E7"/>
        </w:pBdr>
      </w:pPr>
      <w:r>
        <w:t>Глава I. Основания для разработки Доктрины</w:t>
      </w:r>
    </w:p>
    <w:p>
      <w:pPr>
        <w:pStyle w:val="Heading2"/>
        <w:keepNext/>
        <w:widowControl/>
      </w:pPr>
      <w:r>
        <w:t>1. Предмет и цель главы</w:t>
      </w:r>
    </w:p>
    <w:p>
      <w:pPr>
        <w:widowControl/>
        <w:spacing w:after="80" w:line="269" w:lineRule="auto"/>
      </w:pPr>
      <w:r>
        <w:rPr>
          <w:rFonts w:ascii="Carlito" w:hAnsi="Carlito"/>
          <w:i w:val="0"/>
          <w:sz w:val="21"/>
        </w:rPr>
        <w:t>Настоящая глава определяет институциональную проблему, для исследования и возможного решения которой разрабатывается Доктрина общественного поручения, формулирует проверяемую гипотезу Доктрины и устанавливает пределы выводов, которые допустимо делать до завершения пилотирования.</w:t>
      </w:r>
    </w:p>
    <w:p>
      <w:pPr>
        <w:widowControl/>
        <w:spacing w:after="80" w:line="269" w:lineRule="auto"/>
      </w:pPr>
      <w:r>
        <w:rPr>
          <w:rFonts w:ascii="Carlito" w:hAnsi="Carlito"/>
          <w:i w:val="0"/>
          <w:sz w:val="21"/>
        </w:rPr>
        <w:t>Доктрина не исходит из того, что представительная демократия, парламент, политические партии, выборы, референдумы, петиции или иные существующие институты должны быть заменены. Она рассматривает возможность их ограниченного дополнения процедурой, которая соединяет общественное формирование части стратегической повестки, сопоставимое отношение кандидатов и прослеживаемую послевыборную подотчётность.</w:t>
      </w:r>
    </w:p>
    <w:p>
      <w:pPr>
        <w:pStyle w:val="DoctrineQuote"/>
        <w:keepLines/>
        <w:widowControl/>
        <w:spacing w:before="80" w:after="140"/>
        <w:ind w:left="369" w:right="198"/>
      </w:pPr>
      <w:r>
        <w:rPr>
          <w:rFonts w:ascii="Carlito" w:hAnsi="Carlito"/>
          <w:sz w:val="21"/>
        </w:rPr>
        <w:t>Рабочая гипотеза Доктрины состоит не в существовании единой воли общества, а в возможности граждан по заранее установленной процедуре сформировать ограниченный и временный перечень стратегических целей, относительно которого кандидаты обязаны занять ясную публичную позицию, а избранная власть — действовать и отчитываться в пределах собственной компетенции.</w:t>
      </w:r>
    </w:p>
    <w:p>
      <w:pPr>
        <w:pStyle w:val="Heading2"/>
        <w:keepNext/>
        <w:widowControl/>
      </w:pPr>
      <w:r>
        <w:t>2. Исходная институциональная проблема</w:t>
      </w:r>
    </w:p>
    <w:p>
      <w:pPr>
        <w:widowControl/>
        <w:spacing w:after="80" w:line="269" w:lineRule="auto"/>
      </w:pPr>
      <w:r>
        <w:rPr>
          <w:rFonts w:ascii="Carlito" w:hAnsi="Carlito"/>
          <w:i w:val="0"/>
          <w:sz w:val="21"/>
        </w:rPr>
        <w:t>Современные конституционные системы располагают множеством каналов общественного влияния: выборами, партийными программами, парламентскими процедурами, петициями, общественными инициативами, референдумами, слушаниями, гражданскими ассамблеями, профсоюзами, общественными организациями, средствами массовой информации и цифровыми платформами участия.</w:t>
      </w:r>
    </w:p>
    <w:p>
      <w:pPr>
        <w:widowControl/>
        <w:spacing w:after="80" w:line="269" w:lineRule="auto"/>
      </w:pPr>
      <w:r>
        <w:rPr>
          <w:rFonts w:ascii="Carlito" w:hAnsi="Carlito"/>
          <w:i w:val="0"/>
          <w:sz w:val="21"/>
        </w:rPr>
        <w:t>Эти механизмы выполняют различные функции и не образуют автоматически единого цикла. Выборы определяют носителей полномочий; программы формулируются партиями и кандидатами; парламент принимает решения в пределах собственной компетенции; петиции и инициативы обычно относятся к отдельным вопросам; опросы выявляют мнение, но не создают официального режима ответа, реализации и оценки.</w:t>
      </w:r>
    </w:p>
    <w:p>
      <w:pPr>
        <w:widowControl/>
        <w:spacing w:after="80" w:line="269" w:lineRule="auto"/>
      </w:pPr>
      <w:r>
        <w:rPr>
          <w:rFonts w:ascii="Carlito" w:hAnsi="Carlito"/>
          <w:i w:val="0"/>
          <w:sz w:val="21"/>
        </w:rPr>
        <w:t>Доктрина исследует не отсутствие общественного влияния, а возможный разрыв между следующими стадиями:</w:t>
      </w:r>
    </w:p>
    <w:p>
      <w:pPr>
        <w:pStyle w:val="ListBullet"/>
        <w:widowControl/>
        <w:spacing w:after="50" w:line="259" w:lineRule="auto"/>
        <w:ind w:left="312" w:hanging="142"/>
      </w:pPr>
      <w:r>
        <w:rPr>
          <w:rFonts w:ascii="Carlito" w:hAnsi="Carlito"/>
          <w:sz w:val="20"/>
        </w:rPr>
        <w:t>выдвижение гражданами стратегических проблем и целей;</w:t>
      </w:r>
    </w:p>
    <w:p>
      <w:pPr>
        <w:pStyle w:val="ListBullet"/>
        <w:widowControl/>
        <w:spacing w:after="50" w:line="259" w:lineRule="auto"/>
        <w:ind w:left="312" w:hanging="142"/>
      </w:pPr>
      <w:r>
        <w:rPr>
          <w:rFonts w:ascii="Carlito" w:hAnsi="Carlito"/>
          <w:sz w:val="20"/>
        </w:rPr>
        <w:t>раскрытие правовых, бюджетных, социальных и иных последствий;</w:t>
      </w:r>
    </w:p>
    <w:p>
      <w:pPr>
        <w:pStyle w:val="ListBullet"/>
        <w:widowControl/>
        <w:spacing w:after="50" w:line="259" w:lineRule="auto"/>
        <w:ind w:left="312" w:hanging="142"/>
      </w:pPr>
      <w:r>
        <w:rPr>
          <w:rFonts w:ascii="Carlito" w:hAnsi="Carlito"/>
          <w:sz w:val="20"/>
        </w:rPr>
        <w:t>формирование ограниченного перечня приоритетов;</w:t>
      </w:r>
    </w:p>
    <w:p>
      <w:pPr>
        <w:pStyle w:val="ListBullet"/>
        <w:widowControl/>
        <w:spacing w:after="50" w:line="259" w:lineRule="auto"/>
        <w:ind w:left="312" w:hanging="142"/>
      </w:pPr>
      <w:r>
        <w:rPr>
          <w:rFonts w:ascii="Carlito" w:hAnsi="Carlito"/>
          <w:sz w:val="20"/>
        </w:rPr>
        <w:t>получение сопоставимой позиции кандидатов по одному и тому же перечню;</w:t>
      </w:r>
    </w:p>
    <w:p>
      <w:pPr>
        <w:pStyle w:val="ListBullet"/>
        <w:widowControl/>
        <w:spacing w:after="50" w:line="259" w:lineRule="auto"/>
        <w:ind w:left="312" w:hanging="142"/>
      </w:pPr>
      <w:r>
        <w:rPr>
          <w:rFonts w:ascii="Carlito" w:hAnsi="Carlito"/>
          <w:sz w:val="20"/>
        </w:rPr>
        <w:t>фиксация принятых избранным субъектом положений;</w:t>
      </w:r>
    </w:p>
    <w:p>
      <w:pPr>
        <w:pStyle w:val="ListBullet"/>
        <w:widowControl/>
        <w:spacing w:after="50" w:line="259" w:lineRule="auto"/>
        <w:ind w:left="312" w:hanging="142"/>
      </w:pPr>
      <w:r>
        <w:rPr>
          <w:rFonts w:ascii="Carlito" w:hAnsi="Carlito"/>
          <w:sz w:val="20"/>
        </w:rPr>
        <w:t>перевод принятых положений в план собственных действий и открытые данные;</w:t>
      </w:r>
    </w:p>
    <w:p>
      <w:pPr>
        <w:pStyle w:val="ListBullet"/>
        <w:widowControl/>
        <w:spacing w:after="50" w:line="259" w:lineRule="auto"/>
        <w:ind w:left="312" w:hanging="142"/>
      </w:pPr>
      <w:r>
        <w:rPr>
          <w:rFonts w:ascii="Carlito" w:hAnsi="Carlito"/>
          <w:sz w:val="20"/>
        </w:rPr>
        <w:t>независимая оценка действий, результатов и внешних обстоятельств;</w:t>
      </w:r>
    </w:p>
    <w:p>
      <w:pPr>
        <w:pStyle w:val="ListBullet"/>
        <w:widowControl/>
        <w:spacing w:after="50" w:line="259" w:lineRule="auto"/>
        <w:ind w:left="312" w:hanging="142"/>
      </w:pPr>
      <w:r>
        <w:rPr>
          <w:rFonts w:ascii="Carlito" w:hAnsi="Carlito"/>
          <w:sz w:val="20"/>
        </w:rPr>
        <w:t>сохранение институциональной памяти для следующего политического цикла.</w:t>
      </w:r>
    </w:p>
    <w:p>
      <w:pPr>
        <w:widowControl/>
        <w:spacing w:after="80" w:line="269" w:lineRule="auto"/>
      </w:pPr>
      <w:r>
        <w:rPr>
          <w:rFonts w:ascii="Carlito" w:hAnsi="Carlito"/>
          <w:i w:val="0"/>
          <w:sz w:val="21"/>
        </w:rPr>
        <w:t>Наличие такого разрыва является проверяемым предположением, а не заранее доказанным недостатком всех демократических систем. В отдельных государствах значительная часть перечисленных функций может уже выполняться существующими институтами. В таком случае внедрение полной модели может быть избыточным либо нецелесообразным.</w:t>
      </w:r>
    </w:p>
    <w:p>
      <w:pPr>
        <w:pStyle w:val="Heading2"/>
        <w:keepNext/>
        <w:widowControl/>
      </w:pPr>
      <w:r>
        <w:t>3. Плюралистическая природа общества</w:t>
      </w:r>
    </w:p>
    <w:p>
      <w:pPr>
        <w:widowControl/>
        <w:spacing w:after="80" w:line="269" w:lineRule="auto"/>
      </w:pPr>
      <w:r>
        <w:rPr>
          <w:rFonts w:ascii="Carlito" w:hAnsi="Carlito"/>
          <w:i w:val="0"/>
          <w:sz w:val="21"/>
        </w:rPr>
        <w:t>Доктрина прямо отвергает представление об обществе как о едином лице, обладающем одной непротиворечивой и неизменной волей. Общественное поручение всегда является результатом конкретной процедуры агрегации при сохранении несогласия, воздержания, неучастия, территориальных различий и позиций меньшинств.</w:t>
      </w:r>
    </w:p>
    <w:p>
      <w:pPr>
        <w:widowControl/>
        <w:spacing w:after="80" w:line="269" w:lineRule="auto"/>
      </w:pPr>
      <w:r>
        <w:rPr>
          <w:rFonts w:ascii="Carlito" w:hAnsi="Carlito"/>
          <w:i w:val="0"/>
          <w:sz w:val="21"/>
        </w:rPr>
        <w:t>Поэтому официальное представление результата обязано включать не только перечень поддержанных пунктов, но также:</w:t>
      </w:r>
    </w:p>
    <w:p>
      <w:pPr>
        <w:pStyle w:val="ListBullet"/>
        <w:widowControl/>
        <w:spacing w:after="50" w:line="259" w:lineRule="auto"/>
        <w:ind w:left="312" w:hanging="142"/>
      </w:pPr>
      <w:r>
        <w:rPr>
          <w:rFonts w:ascii="Carlito" w:hAnsi="Carlito"/>
          <w:sz w:val="20"/>
        </w:rPr>
        <w:t>абсолютное число и долю поддержавших;</w:t>
      </w:r>
    </w:p>
    <w:p>
      <w:pPr>
        <w:pStyle w:val="ListBullet"/>
        <w:widowControl/>
        <w:spacing w:after="50" w:line="259" w:lineRule="auto"/>
        <w:ind w:left="312" w:hanging="142"/>
      </w:pPr>
      <w:r>
        <w:rPr>
          <w:rFonts w:ascii="Carlito" w:hAnsi="Carlito"/>
          <w:sz w:val="20"/>
        </w:rPr>
        <w:t>уровень участия и долю воздержавшихся;</w:t>
      </w:r>
    </w:p>
    <w:p>
      <w:pPr>
        <w:pStyle w:val="ListBullet"/>
        <w:widowControl/>
        <w:spacing w:after="50" w:line="259" w:lineRule="auto"/>
        <w:ind w:left="312" w:hanging="142"/>
      </w:pPr>
      <w:r>
        <w:rPr>
          <w:rFonts w:ascii="Carlito" w:hAnsi="Carlito"/>
          <w:sz w:val="20"/>
        </w:rPr>
        <w:t>структуру существенных разногласий;</w:t>
      </w:r>
    </w:p>
    <w:p>
      <w:pPr>
        <w:pStyle w:val="ListBullet"/>
        <w:widowControl/>
        <w:spacing w:after="50" w:line="259" w:lineRule="auto"/>
        <w:ind w:left="312" w:hanging="142"/>
      </w:pPr>
      <w:r>
        <w:rPr>
          <w:rFonts w:ascii="Carlito" w:hAnsi="Carlito"/>
          <w:sz w:val="20"/>
        </w:rPr>
        <w:t>территориальные и социальные различия, если их раскрытие не создаёт риск повторной идентификации;</w:t>
      </w:r>
    </w:p>
    <w:p>
      <w:pPr>
        <w:pStyle w:val="ListBullet"/>
        <w:widowControl/>
        <w:spacing w:after="50" w:line="259" w:lineRule="auto"/>
        <w:ind w:left="312" w:hanging="142"/>
      </w:pPr>
      <w:r>
        <w:rPr>
          <w:rFonts w:ascii="Carlito" w:hAnsi="Carlito"/>
          <w:sz w:val="20"/>
        </w:rPr>
        <w:t>особые мнения гражданских панелей и экспертных групп;</w:t>
      </w:r>
    </w:p>
    <w:p>
      <w:pPr>
        <w:pStyle w:val="ListBullet"/>
        <w:widowControl/>
        <w:spacing w:after="50" w:line="259" w:lineRule="auto"/>
        <w:ind w:left="312" w:hanging="142"/>
      </w:pPr>
      <w:r>
        <w:rPr>
          <w:rFonts w:ascii="Carlito" w:hAnsi="Carlito"/>
          <w:sz w:val="20"/>
        </w:rPr>
        <w:t>указание на ограниченный срок действия результата.</w:t>
      </w:r>
    </w:p>
    <w:p>
      <w:pPr>
        <w:pStyle w:val="DoctrineQuote"/>
        <w:keepLines/>
        <w:widowControl/>
        <w:spacing w:before="80" w:after="140"/>
        <w:ind w:left="369" w:right="198"/>
      </w:pPr>
      <w:r>
        <w:rPr>
          <w:rFonts w:ascii="Carlito" w:hAnsi="Carlito"/>
          <w:sz w:val="21"/>
        </w:rPr>
        <w:t>Общественное поручение является официально установленным общественным выбором в пределах конкретной процедуры, но не объявляется абсолютным, единодушным или вечным выражением народа.</w:t>
      </w:r>
    </w:p>
    <w:p>
      <w:pPr>
        <w:pStyle w:val="Heading2"/>
        <w:keepNext/>
        <w:widowControl/>
      </w:pPr>
      <w:r>
        <w:t>4. Три функции и разделённая ответственность</w:t>
      </w:r>
    </w:p>
    <w:p>
      <w:pPr>
        <w:widowControl/>
        <w:spacing w:after="80" w:line="269" w:lineRule="auto"/>
      </w:pPr>
      <w:r>
        <w:rPr>
          <w:rFonts w:ascii="Carlito" w:hAnsi="Carlito"/>
          <w:i w:val="0"/>
          <w:sz w:val="21"/>
        </w:rPr>
        <w:t>Для целей Доктрины различаются три функции: определение стратегических целей, выбор способов их достижения и оценка результата. В реальном государстве эти функции могут пересекаться, однако их различение необходимо для предотвращения подмены гражданского выбора экспертным усмотрением и подмены профессионального управления массовым микроменеджментом.</w:t>
      </w:r>
    </w:p>
    <w:p>
      <w:pPr>
        <w:widowControl/>
        <w:spacing w:after="80" w:line="269" w:lineRule="auto"/>
      </w:pPr>
      <w:r>
        <w:rPr>
          <w:rFonts w:ascii="Carlito" w:hAnsi="Carlito"/>
          <w:i w:val="0"/>
          <w:sz w:val="21"/>
        </w:rPr>
        <w:t>Основная формула Доктрины сохраняется в следующем уточнённом виде:</w:t>
      </w:r>
    </w:p>
    <w:p>
      <w:pPr>
        <w:pStyle w:val="DoctrineQuote"/>
        <w:keepLines/>
        <w:widowControl/>
        <w:spacing w:before="80" w:after="140"/>
        <w:ind w:left="369" w:right="198"/>
      </w:pPr>
      <w:r>
        <w:rPr>
          <w:rFonts w:ascii="Carlito" w:hAnsi="Carlito"/>
          <w:sz w:val="21"/>
        </w:rPr>
        <w:t>Общество определяет ограниченную часть стратегических целей. Компетентные государственные институты определяют и реализуют способы. Ответственность разделяется по полномочиям, а достигнутый результат оценивается совместно с действиями и внешними обстоятельствами.</w:t>
      </w:r>
    </w:p>
    <w:p>
      <w:pPr>
        <w:widowControl/>
        <w:spacing w:after="80" w:line="269" w:lineRule="auto"/>
      </w:pPr>
      <w:r>
        <w:rPr>
          <w:rFonts w:ascii="Carlito" w:hAnsi="Carlito"/>
          <w:i w:val="0"/>
          <w:sz w:val="21"/>
        </w:rPr>
        <w:t>Из этой формулы не следует, что граждане вправе непосредственно распределять бюджет, давать обязательные указания суду, связывать голос депутата или управлять текущей административной деятельностью. Из неё также не следует, что государство вправе свести поручение к необязательному мнению и ограничиться формальным ответом.</w:t>
      </w:r>
    </w:p>
    <w:p>
      <w:pPr>
        <w:pStyle w:val="Heading2"/>
        <w:keepNext/>
        <w:widowControl/>
      </w:pPr>
      <w:r>
        <w:t>5. Проверяемая гипотеза Доктрины</w:t>
      </w:r>
    </w:p>
    <w:p>
      <w:pPr>
        <w:widowControl/>
        <w:spacing w:after="80" w:line="269" w:lineRule="auto"/>
      </w:pPr>
      <w:r>
        <w:rPr>
          <w:rFonts w:ascii="Carlito" w:hAnsi="Carlito"/>
          <w:i w:val="0"/>
          <w:sz w:val="21"/>
        </w:rPr>
        <w:t>Доктрина проверяет, способна ли объединённая процедура дать измеримое преимущество по сравнению с более простой комбинацией существующих механизмов: развитой петиционной системой, гражданскими ассамблеями, официальными справочниками кандидатов, открытыми данными и обычным парламентским контролем.</w:t>
      </w:r>
    </w:p>
    <w:p>
      <w:pPr>
        <w:widowControl/>
        <w:spacing w:after="80" w:line="269" w:lineRule="auto"/>
      </w:pPr>
      <w:r>
        <w:rPr>
          <w:rFonts w:ascii="Carlito" w:hAnsi="Carlito"/>
          <w:i w:val="0"/>
          <w:sz w:val="21"/>
        </w:rPr>
        <w:t>Гипотеза считается подтверждаемой только при одновременном наличии следующих эффектов:</w:t>
      </w:r>
    </w:p>
    <w:p>
      <w:pPr>
        <w:pStyle w:val="ListBullet"/>
        <w:widowControl/>
        <w:spacing w:after="50" w:line="259" w:lineRule="auto"/>
        <w:ind w:left="312" w:hanging="142"/>
      </w:pPr>
      <w:r>
        <w:rPr>
          <w:rFonts w:ascii="Carlito" w:hAnsi="Carlito"/>
          <w:sz w:val="20"/>
        </w:rPr>
        <w:t>гражданам легче выдвигать и прослеживать стратегические инициативы;</w:t>
      </w:r>
    </w:p>
    <w:p>
      <w:pPr>
        <w:pStyle w:val="ListBullet"/>
        <w:widowControl/>
        <w:spacing w:after="50" w:line="259" w:lineRule="auto"/>
        <w:ind w:left="312" w:hanging="142"/>
      </w:pPr>
      <w:r>
        <w:rPr>
          <w:rFonts w:ascii="Carlito" w:hAnsi="Carlito"/>
          <w:sz w:val="20"/>
        </w:rPr>
        <w:t>позиции кандидатов становятся содержательно более сопоставимыми;</w:t>
      </w:r>
    </w:p>
    <w:p>
      <w:pPr>
        <w:pStyle w:val="ListBullet"/>
        <w:widowControl/>
        <w:spacing w:after="50" w:line="259" w:lineRule="auto"/>
        <w:ind w:left="312" w:hanging="142"/>
      </w:pPr>
      <w:r>
        <w:rPr>
          <w:rFonts w:ascii="Carlito" w:hAnsi="Carlito"/>
          <w:sz w:val="20"/>
        </w:rPr>
        <w:t>увеличивается доля конкретных собственных действий, планов, сроков и открытых данных;</w:t>
      </w:r>
    </w:p>
    <w:p>
      <w:pPr>
        <w:pStyle w:val="ListBullet"/>
        <w:widowControl/>
        <w:spacing w:after="50" w:line="259" w:lineRule="auto"/>
        <w:ind w:left="312" w:hanging="142"/>
      </w:pPr>
      <w:r>
        <w:rPr>
          <w:rFonts w:ascii="Carlito" w:hAnsi="Carlito"/>
          <w:sz w:val="20"/>
        </w:rPr>
        <w:t>снижается возможность ретроспективно изменять смысл обещания или методику оценки;</w:t>
      </w:r>
    </w:p>
    <w:p>
      <w:pPr>
        <w:pStyle w:val="ListBullet"/>
        <w:widowControl/>
        <w:spacing w:after="50" w:line="259" w:lineRule="auto"/>
        <w:ind w:left="312" w:hanging="142"/>
      </w:pPr>
      <w:r>
        <w:rPr>
          <w:rFonts w:ascii="Carlito" w:hAnsi="Carlito"/>
          <w:sz w:val="20"/>
        </w:rPr>
        <w:t>не ухудшается равенство участия и защита меньшинств;</w:t>
      </w:r>
    </w:p>
    <w:p>
      <w:pPr>
        <w:pStyle w:val="ListBullet"/>
        <w:widowControl/>
        <w:spacing w:after="50" w:line="259" w:lineRule="auto"/>
        <w:ind w:left="312" w:hanging="142"/>
      </w:pPr>
      <w:r>
        <w:rPr>
          <w:rFonts w:ascii="Carlito" w:hAnsi="Carlito"/>
          <w:sz w:val="20"/>
        </w:rPr>
        <w:t>не снижается свобода политической конкуренции;</w:t>
      </w:r>
    </w:p>
    <w:p>
      <w:pPr>
        <w:pStyle w:val="ListBullet"/>
        <w:widowControl/>
        <w:spacing w:after="50" w:line="259" w:lineRule="auto"/>
        <w:ind w:left="312" w:hanging="142"/>
      </w:pPr>
      <w:r>
        <w:rPr>
          <w:rFonts w:ascii="Carlito" w:hAnsi="Carlito"/>
          <w:sz w:val="20"/>
        </w:rPr>
        <w:t>не возникает параллельный источник власти или квазичетвёртая ветвь институтов;</w:t>
      </w:r>
    </w:p>
    <w:p>
      <w:pPr>
        <w:pStyle w:val="ListBullet"/>
        <w:widowControl/>
        <w:spacing w:after="50" w:line="259" w:lineRule="auto"/>
        <w:ind w:left="312" w:hanging="142"/>
      </w:pPr>
      <w:r>
        <w:rPr>
          <w:rFonts w:ascii="Carlito" w:hAnsi="Carlito"/>
          <w:sz w:val="20"/>
        </w:rPr>
        <w:t>общественная польза превышает административные, бюджетные и цифровые издержки.</w:t>
      </w:r>
    </w:p>
    <w:p>
      <w:pPr>
        <w:widowControl/>
        <w:spacing w:after="80" w:line="269" w:lineRule="auto"/>
      </w:pPr>
      <w:r>
        <w:rPr>
          <w:rFonts w:ascii="Carlito" w:hAnsi="Carlito"/>
          <w:i w:val="0"/>
          <w:sz w:val="21"/>
        </w:rPr>
        <w:t>Рост числа зарегистрированных пользователей, инициатив или опубликованных отчётов сам по себе не доказывает успех. До пилота должны быть установлены контрольные показатели, сравнительная модель и критерии прекращения.</w:t>
      </w:r>
    </w:p>
    <w:p>
      <w:pPr>
        <w:pStyle w:val="Heading2"/>
        <w:keepNext/>
        <w:widowControl/>
      </w:pPr>
      <w:r>
        <w:t>6. Предполагаемая дополнительная ценность</w:t>
      </w:r>
    </w:p>
    <w:p>
      <w:pPr>
        <w:widowControl/>
        <w:spacing w:after="80" w:line="269" w:lineRule="auto"/>
      </w:pPr>
      <w:r>
        <w:rPr>
          <w:rFonts w:ascii="Carlito" w:hAnsi="Carlito"/>
          <w:i w:val="0"/>
          <w:sz w:val="21"/>
        </w:rPr>
        <w:t>При успешном проектировании Доктрина может создать дополнительную ценность в четырёх взаимосвязанных областях:</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188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Область</w:t>
            </w:r>
          </w:p>
        </w:tc>
        <w:tc>
          <w:tcPr>
            <w:tcW w:type="dxa" w:w="259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Предполагаемая ценность</w:t>
            </w:r>
          </w:p>
        </w:tc>
        <w:tc>
          <w:tcPr>
            <w:tcW w:type="dxa" w:w="216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Условие признания</w:t>
            </w:r>
          </w:p>
        </w:tc>
      </w:tr>
      <w:tr>
        <w:trPr>
          <w:cantSplit/>
          <w:cantSplit/>
        </w:trPr>
        <w:tc>
          <w:tcPr>
            <w:tcW w:type="dxa" w:w="118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Повестка</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Граждане получают самостоятельный путь формирования ограниченного перечня стратегических целей.</w:t>
            </w:r>
          </w:p>
        </w:tc>
        <w:tc>
          <w:tcPr>
            <w:tcW w:type="dxa" w:w="216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Отсутствует скрытый содержательный отсев и сохраняется исходный смысл.</w:t>
            </w:r>
          </w:p>
        </w:tc>
      </w:tr>
      <w:tr>
        <w:trPr>
          <w:cantSplit/>
          <w:cantSplit/>
        </w:trPr>
        <w:tc>
          <w:tcPr>
            <w:tcW w:type="dxa" w:w="118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Выборы</w:t>
            </w:r>
          </w:p>
        </w:tc>
        <w:tc>
          <w:tcPr>
            <w:tcW w:type="dxa" w:w="259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Кандидаты отвечают на одинаковые вопросы в сопоставимом формате.</w:t>
            </w:r>
          </w:p>
        </w:tc>
        <w:tc>
          <w:tcPr>
            <w:tcW w:type="dxa" w:w="216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Формат нейтрален, не создаёт рейтинга и не толкует политическую речь.</w:t>
            </w:r>
          </w:p>
        </w:tc>
      </w:tr>
      <w:tr>
        <w:trPr>
          <w:cantSplit/>
          <w:cantSplit/>
        </w:trPr>
        <w:tc>
          <w:tcPr>
            <w:tcW w:type="dxa" w:w="118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Управление</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Принятые положения переводятся в план собственных действий, зависимости и данные.</w:t>
            </w:r>
          </w:p>
        </w:tc>
        <w:tc>
          <w:tcPr>
            <w:tcW w:type="dxa" w:w="216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Поручение не подменяет компетенцию и бюджет.</w:t>
            </w:r>
          </w:p>
        </w:tc>
      </w:tr>
      <w:tr>
        <w:trPr>
          <w:cantSplit/>
          <w:cantSplit/>
        </w:trPr>
        <w:tc>
          <w:tcPr>
            <w:tcW w:type="dxa" w:w="118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Ответственность</w:t>
            </w:r>
          </w:p>
        </w:tc>
        <w:tc>
          <w:tcPr>
            <w:tcW w:type="dxa" w:w="259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Сохраняется сквозной публичный след от инициативы до результата.</w:t>
            </w:r>
          </w:p>
        </w:tc>
        <w:tc>
          <w:tcPr>
            <w:tcW w:type="dxa" w:w="216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Оценка многомерна и не превращается в специальный политический суд.</w:t>
            </w:r>
          </w:p>
        </w:tc>
      </w:tr>
    </w:tbl>
    <w:p>
      <w:pPr>
        <w:pStyle w:val="Heading2"/>
        <w:keepNext/>
        <w:widowControl/>
      </w:pPr>
      <w:r>
        <w:t>7. Пределы исходной гипотезы</w:t>
      </w:r>
    </w:p>
    <w:p>
      <w:pPr>
        <w:widowControl/>
        <w:spacing w:after="80" w:line="269" w:lineRule="auto"/>
      </w:pPr>
      <w:r>
        <w:rPr>
          <w:rFonts w:ascii="Carlito" w:hAnsi="Carlito"/>
          <w:i w:val="0"/>
          <w:sz w:val="21"/>
        </w:rPr>
        <w:t>Доктрина не утверждает и не допускает, что:</w:t>
      </w:r>
    </w:p>
    <w:p>
      <w:pPr>
        <w:pStyle w:val="ListBullet"/>
        <w:widowControl/>
        <w:spacing w:after="50" w:line="259" w:lineRule="auto"/>
        <w:ind w:left="312" w:hanging="142"/>
      </w:pPr>
      <w:r>
        <w:rPr>
          <w:rFonts w:ascii="Carlito" w:hAnsi="Carlito"/>
          <w:sz w:val="20"/>
        </w:rPr>
        <w:t>любое массово поддержанное предложение является правомерным или разумным;</w:t>
      </w:r>
    </w:p>
    <w:p>
      <w:pPr>
        <w:pStyle w:val="ListBullet"/>
        <w:widowControl/>
        <w:spacing w:after="50" w:line="259" w:lineRule="auto"/>
        <w:ind w:left="312" w:hanging="142"/>
      </w:pPr>
      <w:r>
        <w:rPr>
          <w:rFonts w:ascii="Carlito" w:hAnsi="Carlito"/>
          <w:sz w:val="20"/>
        </w:rPr>
        <w:t>популярность равнозначна общественной истине;</w:t>
      </w:r>
    </w:p>
    <w:p>
      <w:pPr>
        <w:pStyle w:val="ListBullet"/>
        <w:widowControl/>
        <w:spacing w:after="50" w:line="259" w:lineRule="auto"/>
        <w:ind w:left="312" w:hanging="142"/>
      </w:pPr>
      <w:r>
        <w:rPr>
          <w:rFonts w:ascii="Carlito" w:hAnsi="Carlito"/>
          <w:sz w:val="20"/>
        </w:rPr>
        <w:t>одно голосование может заменить конституционный порядок;</w:t>
      </w:r>
    </w:p>
    <w:p>
      <w:pPr>
        <w:pStyle w:val="ListBullet"/>
        <w:widowControl/>
        <w:spacing w:after="50" w:line="259" w:lineRule="auto"/>
        <w:ind w:left="312" w:hanging="142"/>
      </w:pPr>
      <w:r>
        <w:rPr>
          <w:rFonts w:ascii="Carlito" w:hAnsi="Carlito"/>
          <w:sz w:val="20"/>
        </w:rPr>
        <w:t>избранное лицо контролирует парламент, суд, регионы, рынок или международную среду;</w:t>
      </w:r>
    </w:p>
    <w:p>
      <w:pPr>
        <w:pStyle w:val="ListBullet"/>
        <w:widowControl/>
        <w:spacing w:after="50" w:line="259" w:lineRule="auto"/>
        <w:ind w:left="312" w:hanging="142"/>
      </w:pPr>
      <w:r>
        <w:rPr>
          <w:rFonts w:ascii="Carlito" w:hAnsi="Carlito"/>
          <w:sz w:val="20"/>
        </w:rPr>
        <w:t>политическое обещание может быть исполнено судом как обычный договор;</w:t>
      </w:r>
    </w:p>
    <w:p>
      <w:pPr>
        <w:pStyle w:val="ListBullet"/>
        <w:widowControl/>
        <w:spacing w:after="50" w:line="259" w:lineRule="auto"/>
        <w:ind w:left="312" w:hanging="142"/>
      </w:pPr>
      <w:r>
        <w:rPr>
          <w:rFonts w:ascii="Carlito" w:hAnsi="Carlito"/>
          <w:sz w:val="20"/>
        </w:rPr>
        <w:t>полная прозрачность допустима ценой создания политического профиля гражданина;</w:t>
      </w:r>
    </w:p>
    <w:p>
      <w:pPr>
        <w:pStyle w:val="ListBullet"/>
        <w:widowControl/>
        <w:spacing w:after="50" w:line="259" w:lineRule="auto"/>
        <w:ind w:left="312" w:hanging="142"/>
      </w:pPr>
      <w:r>
        <w:rPr>
          <w:rFonts w:ascii="Carlito" w:hAnsi="Carlito"/>
          <w:sz w:val="20"/>
        </w:rPr>
        <w:t>новая система оправдана независимо от её стоимости и результатов;</w:t>
      </w:r>
    </w:p>
    <w:p>
      <w:pPr>
        <w:pStyle w:val="ListBullet"/>
        <w:widowControl/>
        <w:spacing w:after="50" w:line="259" w:lineRule="auto"/>
        <w:ind w:left="312" w:hanging="142"/>
      </w:pPr>
      <w:r>
        <w:rPr>
          <w:rFonts w:ascii="Carlito" w:hAnsi="Carlito"/>
          <w:sz w:val="20"/>
        </w:rPr>
        <w:t>неудачный пилот обязан быть продолжен ради сохранения института.</w:t>
      </w:r>
    </w:p>
    <w:p>
      <w:pPr>
        <w:widowControl/>
        <w:spacing w:after="80" w:line="269" w:lineRule="auto"/>
      </w:pPr>
      <w:r>
        <w:rPr>
          <w:rFonts w:ascii="Carlito" w:hAnsi="Carlito"/>
          <w:i w:val="0"/>
          <w:sz w:val="21"/>
        </w:rPr>
        <w:t>Право не участвовать, не поддерживать ни один пункт, голосовать за кандидата вопреки отдельным его позициям и изменять мнение сохраняется в полном объёме. Неучастие не толкуется как согласие или несогласие.</w:t>
      </w:r>
    </w:p>
    <w:p>
      <w:pPr>
        <w:pStyle w:val="Heading2"/>
        <w:keepNext/>
        <w:widowControl/>
      </w:pPr>
      <w:r>
        <w:t>8. Фальсифицируемость и критерии отказа</w:t>
      </w:r>
    </w:p>
    <w:p>
      <w:pPr>
        <w:widowControl/>
        <w:spacing w:after="80" w:line="269" w:lineRule="auto"/>
      </w:pPr>
      <w:r>
        <w:rPr>
          <w:rFonts w:ascii="Carlito" w:hAnsi="Carlito"/>
          <w:i w:val="0"/>
          <w:sz w:val="21"/>
        </w:rPr>
        <w:t>Доктрина должна допускать вывод о собственной неэффективности. Законодательное или конституционное закрепление полной модели недопустимо, если пилоты показывают, что система:</w:t>
      </w:r>
    </w:p>
    <w:p>
      <w:pPr>
        <w:pStyle w:val="ListBullet"/>
        <w:widowControl/>
        <w:spacing w:after="50" w:line="259" w:lineRule="auto"/>
        <w:ind w:left="312" w:hanging="142"/>
      </w:pPr>
      <w:r>
        <w:rPr>
          <w:rFonts w:ascii="Carlito" w:hAnsi="Carlito"/>
          <w:sz w:val="20"/>
        </w:rPr>
        <w:t>не улучшает понимание позиций кандидатов по сравнению с более простыми инструментами;</w:t>
      </w:r>
    </w:p>
    <w:p>
      <w:pPr>
        <w:pStyle w:val="ListBullet"/>
        <w:widowControl/>
        <w:spacing w:after="50" w:line="259" w:lineRule="auto"/>
        <w:ind w:left="312" w:hanging="142"/>
      </w:pPr>
      <w:r>
        <w:rPr>
          <w:rFonts w:ascii="Carlito" w:hAnsi="Carlito"/>
          <w:sz w:val="20"/>
        </w:rPr>
        <w:t>устойчиво воспроизводит социально или территориально перекошенное участие;</w:t>
      </w:r>
    </w:p>
    <w:p>
      <w:pPr>
        <w:pStyle w:val="ListBullet"/>
        <w:widowControl/>
        <w:spacing w:after="50" w:line="259" w:lineRule="auto"/>
        <w:ind w:left="312" w:hanging="142"/>
      </w:pPr>
      <w:r>
        <w:rPr>
          <w:rFonts w:ascii="Carlito" w:hAnsi="Carlito"/>
          <w:sz w:val="20"/>
        </w:rPr>
        <w:t>создаёт непропорциональные расходы на одного участника и один дошедший до решения пункт;</w:t>
      </w:r>
    </w:p>
    <w:p>
      <w:pPr>
        <w:pStyle w:val="ListBullet"/>
        <w:widowControl/>
        <w:spacing w:after="50" w:line="259" w:lineRule="auto"/>
        <w:ind w:left="312" w:hanging="142"/>
      </w:pPr>
      <w:r>
        <w:rPr>
          <w:rFonts w:ascii="Carlito" w:hAnsi="Carlito"/>
          <w:sz w:val="20"/>
        </w:rPr>
        <w:t>порождает высокий уровень обоснованных жалоб на отсев и искажение смысла;</w:t>
      </w:r>
    </w:p>
    <w:p>
      <w:pPr>
        <w:pStyle w:val="ListBullet"/>
        <w:widowControl/>
        <w:spacing w:after="50" w:line="259" w:lineRule="auto"/>
        <w:ind w:left="312" w:hanging="142"/>
      </w:pPr>
      <w:r>
        <w:rPr>
          <w:rFonts w:ascii="Carlito" w:hAnsi="Carlito"/>
          <w:sz w:val="20"/>
        </w:rPr>
        <w:t>снижает доверие к базовым выборам, парламенту или суду;</w:t>
      </w:r>
    </w:p>
    <w:p>
      <w:pPr>
        <w:pStyle w:val="ListBullet"/>
        <w:widowControl/>
        <w:spacing w:after="50" w:line="259" w:lineRule="auto"/>
        <w:ind w:left="312" w:hanging="142"/>
      </w:pPr>
      <w:r>
        <w:rPr>
          <w:rFonts w:ascii="Carlito" w:hAnsi="Carlito"/>
          <w:sz w:val="20"/>
        </w:rPr>
        <w:t>не обеспечивает независимую воспроизводимость результата и политическую несвязываемость;</w:t>
      </w:r>
    </w:p>
    <w:p>
      <w:pPr>
        <w:pStyle w:val="ListBullet"/>
        <w:widowControl/>
        <w:spacing w:after="50" w:line="259" w:lineRule="auto"/>
        <w:ind w:left="312" w:hanging="142"/>
      </w:pPr>
      <w:r>
        <w:rPr>
          <w:rFonts w:ascii="Carlito" w:hAnsi="Carlito"/>
          <w:sz w:val="20"/>
        </w:rPr>
        <w:t>создаёт больше точек захвата, чем устраняет.</w:t>
      </w:r>
    </w:p>
    <w:p>
      <w:pPr>
        <w:widowControl/>
        <w:spacing w:after="80" w:line="269" w:lineRule="auto"/>
      </w:pPr>
      <w:r>
        <w:rPr>
          <w:rFonts w:ascii="Carlito" w:hAnsi="Carlito"/>
          <w:i w:val="0"/>
          <w:sz w:val="21"/>
        </w:rPr>
        <w:t>Отрицательный результат пилота влечёт автоматическое прекращение экспериментального режима, если продолжение не утверждено новым актом после независимой оценки. Сам оператор не вправе признавать собственный пилот успешным.</w:t>
      </w:r>
    </w:p>
    <w:p>
      <w:pPr>
        <w:pStyle w:val="Heading2"/>
        <w:keepNext/>
        <w:widowControl/>
      </w:pPr>
      <w:r>
        <w:t>9. Наиболее сильные возражения и встроенные ответы</w:t>
      </w:r>
    </w:p>
    <w:p>
      <w:pPr>
        <w:pStyle w:val="Heading3"/>
        <w:keepNext/>
        <w:widowControl/>
      </w:pPr>
      <w:r>
        <w:t>9.1. «Диагноз не доказывает необходимость нового института»</w:t>
      </w:r>
    </w:p>
    <w:p>
      <w:pPr>
        <w:widowControl/>
        <w:spacing w:after="60" w:line="269" w:lineRule="auto"/>
      </w:pPr>
      <w:r>
        <w:rPr>
          <w:rFonts w:ascii="Carlito" w:hAnsi="Carlito"/>
          <w:i/>
          <w:sz w:val="21"/>
        </w:rPr>
        <w:t>Проблема разрыва между инициативами, программами и отчётностью может решаться модернизацией существующих механизмов.</w:t>
      </w:r>
    </w:p>
    <w:p>
      <w:pPr>
        <w:widowControl/>
        <w:spacing w:after="100" w:line="264" w:lineRule="auto"/>
      </w:pPr>
      <w:r>
        <w:rPr>
          <w:rFonts w:ascii="Carlito" w:hAnsi="Carlito"/>
          <w:b/>
          <w:color w:val="1A3754"/>
          <w:sz w:val="21"/>
        </w:rPr>
        <w:t xml:space="preserve">Встроенный ответ. </w:t>
      </w:r>
      <w:r>
        <w:rPr>
          <w:rFonts w:ascii="Carlito" w:hAnsi="Carlito"/>
          <w:sz w:val="21"/>
        </w:rPr>
        <w:t>Доктрина не объявляет новую систему необходимой заранее. Она требует сравнительного пилота и допускает отказ от полной модели, если комбинация существующих институтов даёт равный или лучший результат при меньшей стоимости.</w:t>
      </w:r>
    </w:p>
    <w:p>
      <w:pPr>
        <w:pStyle w:val="Heading3"/>
        <w:keepNext/>
        <w:widowControl/>
      </w:pPr>
      <w:r>
        <w:t>9.2. «Ограниченный перечень выдаётся за единую волю общества»</w:t>
      </w:r>
    </w:p>
    <w:p>
      <w:pPr>
        <w:widowControl/>
        <w:spacing w:after="60" w:line="269" w:lineRule="auto"/>
      </w:pPr>
      <w:r>
        <w:rPr>
          <w:rFonts w:ascii="Carlito" w:hAnsi="Carlito"/>
          <w:i/>
          <w:sz w:val="21"/>
        </w:rPr>
        <w:t>Любой перечень зависит от правил агрегации и исключения.</w:t>
      </w:r>
    </w:p>
    <w:p>
      <w:pPr>
        <w:widowControl/>
        <w:spacing w:after="100" w:line="264" w:lineRule="auto"/>
      </w:pPr>
      <w:r>
        <w:rPr>
          <w:rFonts w:ascii="Carlito" w:hAnsi="Carlito"/>
          <w:b/>
          <w:color w:val="1A3754"/>
          <w:sz w:val="21"/>
        </w:rPr>
        <w:t xml:space="preserve">Встроенный ответ. </w:t>
      </w:r>
      <w:r>
        <w:rPr>
          <w:rFonts w:ascii="Carlito" w:hAnsi="Carlito"/>
          <w:sz w:val="21"/>
        </w:rPr>
        <w:t>Результат публикуется вместе с явкой, несогласием, воздержанием и разрывами участия; термин не означает единодушие, а официальность не превращает меньшинство в молчаливое согласие.</w:t>
      </w:r>
    </w:p>
    <w:p>
      <w:pPr>
        <w:pStyle w:val="Heading3"/>
        <w:keepNext/>
        <w:widowControl/>
      </w:pPr>
      <w:r>
        <w:t>9.3. «Система создаст второе государство»</w:t>
      </w:r>
    </w:p>
    <w:p>
      <w:pPr>
        <w:widowControl/>
        <w:spacing w:after="60" w:line="269" w:lineRule="auto"/>
      </w:pPr>
      <w:r>
        <w:rPr>
          <w:rFonts w:ascii="Carlito" w:hAnsi="Carlito"/>
          <w:i/>
          <w:sz w:val="21"/>
        </w:rPr>
        <w:t>Полный цикл способен породить сеть постоянных органов и посредников.</w:t>
      </w:r>
    </w:p>
    <w:p>
      <w:pPr>
        <w:widowControl/>
        <w:spacing w:after="100" w:line="264" w:lineRule="auto"/>
      </w:pPr>
      <w:r>
        <w:rPr>
          <w:rFonts w:ascii="Carlito" w:hAnsi="Carlito"/>
          <w:b/>
          <w:color w:val="1A3754"/>
          <w:sz w:val="21"/>
        </w:rPr>
        <w:t>Встроенный ответ. Доктрина закрепляет приоритет существующих институтов, временные функциональные панели, минимизацию стадий и автоматическое прекращение по истечении срока. Отдельный постоянный орган допустим только при доказанной невозможности выполнить функцию существующими средствами.</w:t>
      </w:r>
      <w:r>
        <w:rPr>
          <w:rFonts w:ascii="Carlito" w:hAnsi="Carlito"/>
          <w:sz w:val="21"/>
        </w:rPr>
      </w:r>
    </w:p>
    <w:p>
      <w:pPr>
        <w:pStyle w:val="Heading2"/>
        <w:keepNext/>
        <w:widowControl/>
      </w:pPr>
      <w:r>
        <w:t>10. Связь с другими главами</w:t>
      </w:r>
    </w:p>
    <w:p>
      <w:pPr>
        <w:widowControl/>
        <w:spacing w:after="80" w:line="269" w:lineRule="auto"/>
      </w:pPr>
      <w:r>
        <w:rPr>
          <w:rFonts w:ascii="Carlito" w:hAnsi="Carlito"/>
          <w:i w:val="0"/>
          <w:sz w:val="21"/>
        </w:rPr>
        <w:t>Понятия, правовой статус и границы обязательности раскрываются в главах II и V. Иерархия принципов установлена в главе IV. Практические критерии пилотирования, независимой оценки, стоимости и прекращения подлежат дальнейшему раскрытию в специальных главах и имеют приоритет над нормами о масштабировании.</w:t>
      </w:r>
    </w:p>
    <w:p>
      <w:pPr>
        <w:pStyle w:val="Heading2"/>
        <w:keepNext/>
        <w:widowControl/>
      </w:pPr>
      <w:r>
        <w:t>11. Вывод</w:t>
      </w:r>
    </w:p>
    <w:p>
      <w:pPr>
        <w:widowControl/>
        <w:spacing w:after="80" w:line="269" w:lineRule="auto"/>
      </w:pPr>
      <w:r>
        <w:rPr>
          <w:rFonts w:ascii="Carlito" w:hAnsi="Carlito"/>
          <w:i w:val="0"/>
          <w:sz w:val="21"/>
        </w:rPr>
        <w:t>Основанием для разработки Доктрины является не отрицание представительной демократии, а проверяемое предположение о возможности соединить общественное формирование части стратегической повестки, честное предвыборное позиционирование и сквозную подотчётность. Дополнительная ценность должна быть доказана, а не предполагаться. До такого доказательства Доктрина является проектом институционального дизайна, а не готовым основанием немедленной национальной реформы.</w:t>
      </w:r>
    </w:p>
    <w:p>
      <w:pPr>
        <w:widowControl/>
      </w:pPr>
      <w:r>
        <w:br w:type="page"/>
      </w:r>
    </w:p>
    <w:p>
      <w:pPr>
        <w:pStyle w:val="Heading1"/>
        <w:keepNext/>
        <w:pageBreakBefore/>
        <w:spacing w:before="0" w:after="160"/>
        <w:widowControl/>
        <w:pBdr>
          <w:bottom w:val="single" w:sz="5" w:space="4" w:color="B4C6E7"/>
        </w:pBdr>
      </w:pPr>
      <w:r>
        <w:t>Глава II. Понятие общественного поручения</w:t>
      </w:r>
    </w:p>
    <w:p>
      <w:pPr>
        <w:pStyle w:val="Heading2"/>
        <w:keepNext/>
        <w:widowControl/>
      </w:pPr>
      <w:r>
        <w:t>1. Предмет и цель главы</w:t>
      </w:r>
    </w:p>
    <w:p>
      <w:pPr>
        <w:widowControl/>
        <w:spacing w:after="80" w:line="269" w:lineRule="auto"/>
      </w:pPr>
      <w:r>
        <w:rPr>
          <w:rFonts w:ascii="Carlito" w:hAnsi="Carlito"/>
          <w:i w:val="0"/>
          <w:sz w:val="21"/>
        </w:rPr>
        <w:t>Настоящая глава устанавливает закрытый понятийный аппарат Доктрины. Её задача — исключить использование одного термина одновременно для обозначения инициативы, процесса, перечня приоритетов, документа, позиции кандидата, юридической обязанности и оценки исполнения.</w:t>
      </w:r>
    </w:p>
    <w:p>
      <w:pPr>
        <w:widowControl/>
        <w:spacing w:after="80" w:line="269" w:lineRule="auto"/>
      </w:pPr>
      <w:r>
        <w:rPr>
          <w:rFonts w:ascii="Carlito" w:hAnsi="Carlito"/>
          <w:i w:val="0"/>
          <w:sz w:val="21"/>
        </w:rPr>
        <w:t>Каждый объект полного цикла имеет самостоятельное назначение, правовой статус и границы. Термин не может толковаться расширительно только потому, что иное значение политически удобно конкретному участнику.</w:t>
      </w:r>
    </w:p>
    <w:p>
      <w:pPr>
        <w:pStyle w:val="Heading2"/>
        <w:keepNext/>
        <w:widowControl/>
      </w:pPr>
      <w:r>
        <w:t>2. Основные определения</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4833"/>
        <w:gridCol w:w="4833"/>
      </w:tblGrid>
      <w:tr>
        <w:trPr>
          <w:tblHeader w:val="true"/>
          <w:cantSplit/>
          <w:tblHeader w:val="true"/>
        </w:trPr>
        <w:tc>
          <w:tcPr>
            <w:tcW w:type="dxa" w:w="144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Понятие</w:t>
            </w:r>
          </w:p>
        </w:tc>
        <w:tc>
          <w:tcPr>
            <w:tcW w:type="dxa" w:w="4464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Определение</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Доктрина общественного поручения</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Универсальная институциональная модель, устанавливающая принципы, стадии, гарантии и допустимые варианты национального закрепления общественного поручения.</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Гражданская инициатива</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Исходное предложение гражданина или группы о проблеме, цели либо допустимом направлении публичной политики, зарегистрированное с сохранением неизменяемой исходной версии.</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Кампания поддержки</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Открытая деятельность по распространению и поддержке инициативы с раскрытием профессиональной координации, крупных расходов и конечных бенефициаров в объёме, не создающем реестр рядовых политических предпочтений.</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Общественная стратегическая повестка</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Совокупность инициатив, преодолевших установленные пороги и допущенных к общественной подготовке, обсуждению и выбору; не является окончательным поручением.</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Общественное поручение</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Ограниченный, временный и граждански сформированный перечень стратегических целей, утверждённый по установленной процедуре и запускающий обязательный режим публичного отношения кандидатов.</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Общественный мандат</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Официальный неизменяемый документ, удостоверяющий содержание общественного поручения, процедуру его формирования, поддержку, разногласия, срок и правовые эффекты.</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Декларация кандидата</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Лично утверждённая и неизменяемо опубликованная позиция кандидата по каждому пункту общественного поручения и по минимальной доле принятия.</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Принятое положение</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Пункт поручения, который кандидат принял в декларации и который после его избрания включён в реестр подотчётной реализации.</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Реестр подотчётной реализации</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Публичная система, связывающая принятое положение, собственные действия, компетенции, зависимости, план, данные, изменения и оценки без создания новых полномочий.</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Акт реализации</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Закон, бюджет, указ, постановление, административный акт, договор или иное решение компетентного органа, через которое создаются материальные юридические последствия.</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План реализации</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Публичный документ избранной власти о действиях, ресурсах, сроках, зависимостях, показателях, рисках и основаниях изменения курса.</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Мониторинг</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Регулярное опубликование проверяемых данных о собственных действиях, продуктах, общественных результатах и внешних обстоятельствах.</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Оценка исполнения</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Многомерный публичный анализ, не являющийся судебным приговором и не создающий специальных ограничений избирательных прав.</w:t>
            </w:r>
          </w:p>
        </w:tc>
      </w:tr>
      <w:tr>
        <w:tc>
          <w:tcPr>
            <w:tcW w:type="dxa" w:w="4833"/>
          </w:tcPr>
          <w:p>
            <w:r/>
            <w:r>
              <w:t>Программа кандидата</w:t>
            </w:r>
          </w:p>
        </w:tc>
        <w:tc>
          <w:tcPr>
            <w:tcW w:type="dxa" w:w="4833"/>
          </w:tcPr>
          <w:p>
            <w:r/>
            <w:r>
              <w:t>Самостоятельный политический документ кандидата или партии, который может включать любые дополнительные темы и способы. Она не заменяет декларацию по общественному мандату и не подлежит официальному содержательному толкованию.</w:t>
            </w:r>
          </w:p>
        </w:tc>
      </w:tr>
      <w:tr>
        <w:tc>
          <w:tcPr>
            <w:tcW w:type="dxa" w:w="4833"/>
          </w:tcPr>
          <w:p>
            <w:r/>
            <w:r>
              <w:t>Статус присоединения к общественному мандату</w:t>
            </w:r>
          </w:p>
        </w:tc>
        <w:tc>
          <w:tcPr>
            <w:tcW w:type="dxa" w:w="4833"/>
          </w:tcPr>
          <w:p>
            <w:r/>
            <w:r>
              <w:t>Публичный процедурный статус кандидата, возникающий при представлении полной декларации и соблюдении заранее установленной минимальной доли принятия. Он не является универсальным условием регистрации и не создаёт гарантии политического результата.</w:t>
            </w:r>
          </w:p>
        </w:tc>
      </w:tr>
      <w:tr>
        <w:tc>
          <w:tcPr>
            <w:tcW w:type="dxa" w:w="4833"/>
          </w:tcPr>
          <w:p>
            <w:r/>
            <w:r>
              <w:t>Отчёт об исполнении</w:t>
            </w:r>
          </w:p>
        </w:tc>
        <w:tc>
          <w:tcPr>
            <w:tcW w:type="dxa" w:w="4833"/>
          </w:tcPr>
          <w:p>
            <w:r/>
            <w:r>
              <w:t>Периодический доказательный документ компетентного органа о совершённых действиях, ресурсах, данных, изменениях и внешних обстоятельствах. Он не является независимой оценкой исполнения.</w:t>
            </w:r>
          </w:p>
        </w:tc>
      </w:tr>
      <w:tr>
        <w:tc>
          <w:tcPr>
            <w:tcW w:type="dxa" w:w="4833"/>
          </w:tcPr>
          <w:p>
            <w:r/>
            <w:r>
              <w:t>Политическая ответственность</w:t>
            </w:r>
          </w:p>
        </w:tc>
        <w:tc>
          <w:tcPr>
            <w:tcW w:type="dxa" w:w="4833"/>
          </w:tcPr>
          <w:p>
            <w:r/>
            <w:r>
              <w:t>Оценка решений и результатов через публичную дискуссию, парламентские процедуры, политическую конкуренцию и выборы. Она не равнозначна юридическому наказанию.</w:t>
            </w:r>
          </w:p>
        </w:tc>
      </w:tr>
      <w:tr>
        <w:tc>
          <w:tcPr>
            <w:tcW w:type="dxa" w:w="4833"/>
          </w:tcPr>
          <w:p>
            <w:r/>
            <w:r>
              <w:t>Юридическая ответственность</w:t>
            </w:r>
          </w:p>
        </w:tc>
        <w:tc>
          <w:tcPr>
            <w:tcW w:type="dxa" w:w="4833"/>
          </w:tcPr>
          <w:p>
            <w:r/>
            <w:r>
              <w:t>Обычные, заранее определённые правовые последствия конкретного нарушения — например, фальсификации данных, коррупции, незаконного сокрытия, нарушения процедуры или политической приватности. Она не наступает за сам по себе недостигнутый политический результат.</w:t>
            </w:r>
          </w:p>
        </w:tc>
      </w:tr>
    </w:tbl>
    <w:p>
      <w:pPr>
        <w:pStyle w:val="Heading2"/>
        <w:keepNext/>
        <w:widowControl/>
      </w:pPr>
      <w:r>
        <w:t>3. Юридическая формула общественного поручения</w:t>
      </w:r>
    </w:p>
    <w:p>
      <w:pPr>
        <w:widowControl/>
        <w:spacing w:after="80" w:line="269" w:lineRule="auto"/>
      </w:pPr>
      <w:r>
        <w:rPr>
          <w:rFonts w:ascii="Carlito" w:hAnsi="Carlito"/>
          <w:i w:val="0"/>
          <w:sz w:val="21"/>
        </w:rPr>
        <w:t>Общественное поручение обладает официальным политико-процедурным статусом. Оно не является петиционной просьбой, поскольку его утверждение автоматически запускает заранее установленные обязанности кандидатов и послевыборный режим реализации. Одновременно оно не является самостоятельным источником материального права.</w:t>
      </w:r>
    </w:p>
    <w:p>
      <w:pPr>
        <w:pStyle w:val="DoctrineQuote"/>
        <w:keepLines/>
        <w:widowControl/>
        <w:spacing w:before="80" w:after="140"/>
        <w:ind w:left="369" w:right="198"/>
      </w:pPr>
      <w:r>
        <w:rPr>
          <w:rFonts w:ascii="Carlito" w:hAnsi="Carlito"/>
          <w:sz w:val="21"/>
        </w:rPr>
        <w:t>Общественное поручение обязательно как установленный порядок отношения, принятия, планирования, собственных действий, данных, мотивировки и оценки. Материальные права, расходы, запреты и полномочия возникают только из компетентного акта реализации.</w:t>
      </w:r>
    </w:p>
    <w:p>
      <w:pPr>
        <w:widowControl/>
        <w:spacing w:after="80" w:line="269" w:lineRule="auto"/>
      </w:pPr>
      <w:r>
        <w:rPr>
          <w:rFonts w:ascii="Carlito" w:hAnsi="Carlito"/>
          <w:i w:val="0"/>
          <w:sz w:val="21"/>
        </w:rPr>
        <w:t>Официальность поручения означает достоверность и неизменяемость результата, равный доступ к нему и обязательность предусмотренных законом процедур. Она не означает превосходство над Конституцией, законом, выборами, парламентом, бюджетом или судом.</w:t>
      </w:r>
    </w:p>
    <w:p>
      <w:pPr>
        <w:pStyle w:val="Heading2"/>
        <w:keepNext/>
        <w:widowControl/>
      </w:pPr>
      <w:r>
        <w:t>4. Состав пункта общественного поручения</w:t>
      </w:r>
    </w:p>
    <w:p>
      <w:pPr>
        <w:widowControl/>
        <w:spacing w:after="80" w:line="269" w:lineRule="auto"/>
      </w:pPr>
      <w:r>
        <w:rPr>
          <w:rFonts w:ascii="Carlito" w:hAnsi="Carlito"/>
          <w:i w:val="0"/>
          <w:sz w:val="21"/>
        </w:rPr>
        <w:t>Каждый пункт является самостоятельным объектом выбора и должен содержать только один основной предмет. Пакетирование независимых целей не допускается, если гражданин не может поддержать или отклонить их раздельно.</w:t>
      </w:r>
    </w:p>
    <w:p>
      <w:pPr>
        <w:widowControl/>
        <w:spacing w:after="80" w:line="269" w:lineRule="auto"/>
      </w:pPr>
      <w:r>
        <w:rPr>
          <w:rFonts w:ascii="Carlito" w:hAnsi="Carlito"/>
          <w:i w:val="0"/>
          <w:sz w:val="21"/>
        </w:rPr>
        <w:t>Обязательный состав пункта включает:</w:t>
      </w:r>
    </w:p>
    <w:p>
      <w:pPr>
        <w:pStyle w:val="ListBullet"/>
        <w:widowControl/>
        <w:spacing w:after="50" w:line="259" w:lineRule="auto"/>
        <w:ind w:left="312" w:hanging="142"/>
      </w:pPr>
      <w:r>
        <w:rPr>
          <w:rFonts w:ascii="Carlito" w:hAnsi="Carlito"/>
          <w:sz w:val="20"/>
        </w:rPr>
        <w:t>стабильный идентификатор;</w:t>
      </w:r>
    </w:p>
    <w:p>
      <w:pPr>
        <w:pStyle w:val="ListBullet"/>
        <w:widowControl/>
        <w:spacing w:after="50" w:line="259" w:lineRule="auto"/>
        <w:ind w:left="312" w:hanging="142"/>
      </w:pPr>
      <w:r>
        <w:rPr>
          <w:rFonts w:ascii="Carlito" w:hAnsi="Carlito"/>
          <w:sz w:val="20"/>
        </w:rPr>
        <w:t>неизменяемый исходный текст инициативы;</w:t>
      </w:r>
    </w:p>
    <w:p>
      <w:pPr>
        <w:pStyle w:val="ListBullet"/>
        <w:widowControl/>
        <w:spacing w:after="50" w:line="259" w:lineRule="auto"/>
        <w:ind w:left="312" w:hanging="142"/>
      </w:pPr>
      <w:r>
        <w:rPr>
          <w:rFonts w:ascii="Carlito" w:hAnsi="Carlito"/>
          <w:sz w:val="20"/>
        </w:rPr>
        <w:t>финальную граждански подтверждённую формулировку;</w:t>
      </w:r>
    </w:p>
    <w:p>
      <w:pPr>
        <w:pStyle w:val="ListBullet"/>
        <w:widowControl/>
        <w:spacing w:after="50" w:line="259" w:lineRule="auto"/>
        <w:ind w:left="312" w:hanging="142"/>
      </w:pPr>
      <w:r>
        <w:rPr>
          <w:rFonts w:ascii="Carlito" w:hAnsi="Carlito"/>
          <w:sz w:val="20"/>
        </w:rPr>
        <w:t>описание проблемы и предполагаемой стратегической цели;</w:t>
      </w:r>
    </w:p>
    <w:p>
      <w:pPr>
        <w:pStyle w:val="ListBullet"/>
        <w:widowControl/>
        <w:spacing w:after="50" w:line="259" w:lineRule="auto"/>
        <w:ind w:left="312" w:hanging="142"/>
      </w:pPr>
      <w:r>
        <w:rPr>
          <w:rFonts w:ascii="Carlito" w:hAnsi="Carlito"/>
          <w:sz w:val="20"/>
        </w:rPr>
        <w:t>основной показатель общественного результата и защитные показатели;</w:t>
      </w:r>
    </w:p>
    <w:p>
      <w:pPr>
        <w:pStyle w:val="ListBullet"/>
        <w:widowControl/>
        <w:spacing w:after="50" w:line="259" w:lineRule="auto"/>
        <w:ind w:left="312" w:hanging="142"/>
      </w:pPr>
      <w:r>
        <w:rPr>
          <w:rFonts w:ascii="Carlito" w:hAnsi="Carlito"/>
          <w:sz w:val="20"/>
        </w:rPr>
        <w:t>исходную базу и источники данных;</w:t>
      </w:r>
    </w:p>
    <w:p>
      <w:pPr>
        <w:pStyle w:val="ListBullet"/>
        <w:widowControl/>
        <w:spacing w:after="50" w:line="259" w:lineRule="auto"/>
        <w:ind w:left="312" w:hanging="142"/>
      </w:pPr>
      <w:r>
        <w:rPr>
          <w:rFonts w:ascii="Carlito" w:hAnsi="Carlito"/>
          <w:sz w:val="20"/>
        </w:rPr>
        <w:t>диапазон стоимости, альтернативные сценарии и распределительные последствия;</w:t>
      </w:r>
    </w:p>
    <w:p>
      <w:pPr>
        <w:pStyle w:val="ListBullet"/>
        <w:widowControl/>
        <w:spacing w:after="50" w:line="259" w:lineRule="auto"/>
        <w:ind w:left="312" w:hanging="142"/>
      </w:pPr>
      <w:r>
        <w:rPr>
          <w:rFonts w:ascii="Carlito" w:hAnsi="Carlito"/>
          <w:sz w:val="20"/>
        </w:rPr>
        <w:t>компетентный уровень и зависимые институты;</w:t>
      </w:r>
    </w:p>
    <w:p>
      <w:pPr>
        <w:pStyle w:val="ListBullet"/>
        <w:widowControl/>
        <w:spacing w:after="50" w:line="259" w:lineRule="auto"/>
        <w:ind w:left="312" w:hanging="142"/>
      </w:pPr>
      <w:r>
        <w:rPr>
          <w:rFonts w:ascii="Carlito" w:hAnsi="Carlito"/>
          <w:sz w:val="20"/>
        </w:rPr>
        <w:t>перечень собственных действий возможного адресата;</w:t>
      </w:r>
    </w:p>
    <w:p>
      <w:pPr>
        <w:pStyle w:val="ListBullet"/>
        <w:widowControl/>
        <w:spacing w:after="50" w:line="259" w:lineRule="auto"/>
        <w:ind w:left="312" w:hanging="142"/>
      </w:pPr>
      <w:r>
        <w:rPr>
          <w:rFonts w:ascii="Carlito" w:hAnsi="Carlito"/>
          <w:sz w:val="20"/>
        </w:rPr>
        <w:t>условия изменения, замены, приостановления и прекращения;</w:t>
      </w:r>
    </w:p>
    <w:p>
      <w:pPr>
        <w:pStyle w:val="ListBullet"/>
        <w:widowControl/>
        <w:spacing w:after="50" w:line="259" w:lineRule="auto"/>
        <w:ind w:left="312" w:hanging="142"/>
      </w:pPr>
      <w:r>
        <w:rPr>
          <w:rFonts w:ascii="Carlito" w:hAnsi="Carlito"/>
          <w:sz w:val="20"/>
        </w:rPr>
        <w:t>правовой статус и границы судебного контроля;</w:t>
      </w:r>
    </w:p>
    <w:p>
      <w:pPr>
        <w:pStyle w:val="ListBullet"/>
        <w:widowControl/>
        <w:spacing w:after="50" w:line="259" w:lineRule="auto"/>
        <w:ind w:left="312" w:hanging="142"/>
      </w:pPr>
      <w:r>
        <w:rPr>
          <w:rFonts w:ascii="Carlito" w:hAnsi="Carlito"/>
          <w:sz w:val="20"/>
        </w:rPr>
        <w:t>структуру поддержки, разногласия и неопределённости.</w:t>
      </w:r>
    </w:p>
    <w:p>
      <w:pPr>
        <w:widowControl/>
        <w:spacing w:after="80" w:line="269" w:lineRule="auto"/>
      </w:pPr>
      <w:r>
        <w:rPr>
          <w:rFonts w:ascii="Carlito" w:hAnsi="Carlito"/>
          <w:i w:val="0"/>
          <w:sz w:val="21"/>
        </w:rPr>
        <w:t>Недостаточная техническая готовность гражданской инициативы не лишает её права на рассмотрение. Профессиональная помощь используется для раскрытия последствий и ясности, но не для замены политического смысла.</w:t>
      </w:r>
    </w:p>
    <w:p>
      <w:pPr>
        <w:pStyle w:val="Heading2"/>
        <w:keepNext/>
        <w:widowControl/>
      </w:pPr>
      <w:r>
        <w:t>5. Исходная и рабочая редакции</w:t>
      </w:r>
    </w:p>
    <w:p>
      <w:pPr>
        <w:widowControl/>
        <w:spacing w:after="80" w:line="269" w:lineRule="auto"/>
      </w:pPr>
      <w:r>
        <w:rPr>
          <w:rFonts w:ascii="Carlito" w:hAnsi="Carlito"/>
          <w:i w:val="0"/>
          <w:sz w:val="21"/>
        </w:rPr>
        <w:t>Исходный текст инициативы хранится неизменяемо. Рабочая редакция может применяться для устранения неоднозначности, перевода, объединения идентичных предложений и приведения к формату одного предмета. Любое содержательное изменение требует:</w:t>
      </w:r>
    </w:p>
    <w:p>
      <w:pPr>
        <w:pStyle w:val="ListBullet"/>
        <w:widowControl/>
        <w:spacing w:after="50" w:line="259" w:lineRule="auto"/>
        <w:ind w:left="312" w:hanging="142"/>
      </w:pPr>
      <w:r>
        <w:rPr>
          <w:rFonts w:ascii="Carlito" w:hAnsi="Carlito"/>
          <w:sz w:val="20"/>
        </w:rPr>
        <w:t>построчного или смыслового сравнения версий;</w:t>
      </w:r>
    </w:p>
    <w:p>
      <w:pPr>
        <w:pStyle w:val="ListBullet"/>
        <w:widowControl/>
        <w:spacing w:after="50" w:line="259" w:lineRule="auto"/>
        <w:ind w:left="312" w:hanging="142"/>
      </w:pPr>
      <w:r>
        <w:rPr>
          <w:rFonts w:ascii="Carlito" w:hAnsi="Carlito"/>
          <w:sz w:val="20"/>
        </w:rPr>
        <w:t>объяснения причины каждого изменения;</w:t>
      </w:r>
    </w:p>
    <w:p>
      <w:pPr>
        <w:pStyle w:val="ListBullet"/>
        <w:widowControl/>
        <w:spacing w:after="50" w:line="259" w:lineRule="auto"/>
        <w:ind w:left="312" w:hanging="142"/>
      </w:pPr>
      <w:r>
        <w:rPr>
          <w:rFonts w:ascii="Carlito" w:hAnsi="Carlito"/>
          <w:sz w:val="20"/>
        </w:rPr>
        <w:t>согласия уполномоченного представителя инициативы;</w:t>
      </w:r>
    </w:p>
    <w:p>
      <w:pPr>
        <w:pStyle w:val="ListBullet"/>
        <w:widowControl/>
        <w:spacing w:after="50" w:line="259" w:lineRule="auto"/>
        <w:ind w:left="312" w:hanging="142"/>
      </w:pPr>
      <w:r>
        <w:rPr>
          <w:rFonts w:ascii="Carlito" w:hAnsi="Carlito"/>
          <w:sz w:val="20"/>
        </w:rPr>
        <w:t>повторного подтверждения поддержавших при изменении цели, охвата, адресата, срока или правового эффекта;</w:t>
      </w:r>
    </w:p>
    <w:p>
      <w:pPr>
        <w:pStyle w:val="ListBullet"/>
        <w:widowControl/>
        <w:spacing w:after="50" w:line="259" w:lineRule="auto"/>
        <w:ind w:left="312" w:hanging="142"/>
      </w:pPr>
      <w:r>
        <w:rPr>
          <w:rFonts w:ascii="Carlito" w:hAnsi="Carlito"/>
          <w:sz w:val="20"/>
        </w:rPr>
        <w:t>права сохранить отдельную редакцию или особое мнение;</w:t>
      </w:r>
    </w:p>
    <w:p>
      <w:pPr>
        <w:pStyle w:val="ListBullet"/>
        <w:widowControl/>
        <w:spacing w:after="50" w:line="259" w:lineRule="auto"/>
        <w:ind w:left="312" w:hanging="142"/>
      </w:pPr>
      <w:r>
        <w:rPr>
          <w:rFonts w:ascii="Carlito" w:hAnsi="Carlito"/>
          <w:sz w:val="20"/>
        </w:rPr>
        <w:t>ускоренного обжалования до следующей стадии.</w:t>
      </w:r>
    </w:p>
    <w:p>
      <w:pPr>
        <w:widowControl/>
        <w:spacing w:after="80" w:line="269" w:lineRule="auto"/>
      </w:pPr>
      <w:r>
        <w:rPr>
          <w:rFonts w:ascii="Carlito" w:hAnsi="Carlito"/>
          <w:i w:val="0"/>
          <w:sz w:val="21"/>
        </w:rPr>
        <w:t>Алгоритмическая кластеризация и перевод не могут быть окончательными. Они подлежат наблюдаемой человеческой проверке и воспроизводимому аудиту.</w:t>
      </w:r>
    </w:p>
    <w:p>
      <w:pPr>
        <w:pStyle w:val="Heading2"/>
        <w:keepNext/>
        <w:widowControl/>
      </w:pPr>
      <w:r>
        <w:t>6. Статусы общественной поддержки</w:t>
      </w:r>
    </w:p>
    <w:p>
      <w:pPr>
        <w:widowControl/>
        <w:spacing w:after="80" w:line="269" w:lineRule="auto"/>
      </w:pPr>
      <w:r>
        <w:rPr>
          <w:rFonts w:ascii="Carlito" w:hAnsi="Carlito"/>
          <w:i w:val="0"/>
          <w:sz w:val="21"/>
        </w:rPr>
        <w:t>Поддержка не доказывает истинность, конституционность, исполнимость или всеобщность инициативы. Она выполняет последовательно три функции: допускает инициативу к обработке, определяет её место в общественном выборе и удостоверяет итоговый уровень поддержки.</w:t>
      </w:r>
    </w:p>
    <w:p>
      <w:pPr>
        <w:widowControl/>
        <w:spacing w:after="80" w:line="269" w:lineRule="auto"/>
      </w:pPr>
      <w:r>
        <w:rPr>
          <w:rFonts w:ascii="Carlito" w:hAnsi="Carlito"/>
          <w:i w:val="0"/>
          <w:sz w:val="21"/>
        </w:rPr>
        <w:t>Универсальная Доктрина различает:</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296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Статус</w:t>
            </w:r>
          </w:p>
        </w:tc>
        <w:tc>
          <w:tcPr>
            <w:tcW w:type="dxa" w:w="2376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Назначение</w:t>
            </w:r>
          </w:p>
        </w:tc>
        <w:tc>
          <w:tcPr>
            <w:tcW w:type="dxa" w:w="223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Юридическое значение</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Зарегистрированная инициатива</w:t>
            </w:r>
          </w:p>
        </w:tc>
        <w:tc>
          <w:tcPr>
            <w:tcW w:type="dxa" w:w="237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Обеспечивает открытый вход.</w:t>
            </w:r>
          </w:p>
        </w:tc>
        <w:tc>
          <w:tcPr>
            <w:tcW w:type="dxa" w:w="223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Право на доступ, сохранение текста и нейтральную модерацию.</w:t>
            </w:r>
          </w:p>
        </w:tc>
      </w:tr>
      <w:tr>
        <w:trPr>
          <w:cantSplit/>
          <w:cantSplit/>
        </w:trPr>
        <w:tc>
          <w:tcPr>
            <w:tcW w:type="dxa" w:w="12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Поддержанная инициатива</w:t>
            </w:r>
          </w:p>
        </w:tc>
        <w:tc>
          <w:tcPr>
            <w:tcW w:type="dxa" w:w="237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Преодолела порог официальной подготовки.</w:t>
            </w:r>
          </w:p>
        </w:tc>
        <w:tc>
          <w:tcPr>
            <w:tcW w:type="dxa" w:w="223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Право на пропорциональную экспертизу и мотивированную обработку.</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Общественный приоритет</w:t>
            </w:r>
          </w:p>
        </w:tc>
        <w:tc>
          <w:tcPr>
            <w:tcW w:type="dxa" w:w="237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Получил значимую поддержку или прошёл защищённый путь затрагиваемой группы.</w:t>
            </w:r>
          </w:p>
        </w:tc>
        <w:tc>
          <w:tcPr>
            <w:tcW w:type="dxa" w:w="223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Право быть представленным в общественном обсуждении и отчёте.</w:t>
            </w:r>
          </w:p>
        </w:tc>
      </w:tr>
      <w:tr>
        <w:trPr>
          <w:cantSplit/>
          <w:cantSplit/>
        </w:trPr>
        <w:tc>
          <w:tcPr>
            <w:tcW w:type="dxa" w:w="12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Пункт общественного поручения</w:t>
            </w:r>
          </w:p>
        </w:tc>
        <w:tc>
          <w:tcPr>
            <w:tcW w:type="dxa" w:w="237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Утверждён итоговой процедурой.</w:t>
            </w:r>
          </w:p>
        </w:tc>
        <w:tc>
          <w:tcPr>
            <w:tcW w:type="dxa" w:w="223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Запускает обязательный цикл деклараций кандидатов.</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Принятое положение</w:t>
            </w:r>
          </w:p>
        </w:tc>
        <w:tc>
          <w:tcPr>
            <w:tcW w:type="dxa" w:w="237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Принято избранным кандидатом.</w:t>
            </w:r>
          </w:p>
        </w:tc>
        <w:tc>
          <w:tcPr>
            <w:tcW w:type="dxa" w:w="223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Запускает послевыборный режим реализации в пределах его полномочий.</w:t>
            </w:r>
          </w:p>
        </w:tc>
      </w:tr>
    </w:tbl>
    <w:p>
      <w:pPr>
        <w:widowControl/>
        <w:spacing w:after="80" w:line="269" w:lineRule="auto"/>
      </w:pPr>
      <w:r>
        <w:rPr>
          <w:rFonts w:ascii="Carlito" w:hAnsi="Carlito"/>
          <w:i w:val="0"/>
          <w:sz w:val="21"/>
        </w:rPr>
        <w:t>Наименование «общественный мандат» относится к официальному документу всего итогового результата и не может присваиваться инициативе, поддержанной только небольшой активной группой.</w:t>
      </w:r>
    </w:p>
    <w:p>
      <w:pPr>
        <w:pStyle w:val="Heading2"/>
        <w:keepNext/>
        <w:widowControl/>
      </w:pPr>
      <w:r>
        <w:t>7. Формы позиции кандидата</w:t>
      </w:r>
    </w:p>
    <w:p>
      <w:pPr>
        <w:widowControl/>
        <w:spacing w:after="80" w:line="269" w:lineRule="auto"/>
      </w:pPr>
      <w:r>
        <w:rPr>
          <w:rFonts w:ascii="Carlito" w:hAnsi="Carlito"/>
          <w:i w:val="0"/>
          <w:sz w:val="21"/>
        </w:rPr>
        <w:t>Кандидат самостоятельно выбирает одну из следующих форм позиции:</w:t>
      </w:r>
    </w:p>
    <w:p>
      <w:pPr>
        <w:pStyle w:val="ListBullet"/>
        <w:widowControl/>
        <w:spacing w:after="50" w:line="259" w:lineRule="auto"/>
        <w:ind w:left="312" w:hanging="142"/>
      </w:pPr>
      <w:r>
        <w:rPr>
          <w:rFonts w:ascii="Carlito" w:hAnsi="Carlito"/>
          <w:sz w:val="20"/>
        </w:rPr>
        <w:t>принимаю в предложенной редакции;</w:t>
      </w:r>
    </w:p>
    <w:p>
      <w:pPr>
        <w:pStyle w:val="ListBullet"/>
        <w:widowControl/>
        <w:spacing w:after="50" w:line="259" w:lineRule="auto"/>
        <w:ind w:left="312" w:hanging="142"/>
      </w:pPr>
      <w:r>
        <w:rPr>
          <w:rFonts w:ascii="Carlito" w:hAnsi="Carlito"/>
          <w:sz w:val="20"/>
        </w:rPr>
        <w:t>принимаю при объективно определённых условиях;</w:t>
      </w:r>
    </w:p>
    <w:p>
      <w:pPr>
        <w:pStyle w:val="ListBullet"/>
        <w:widowControl/>
        <w:spacing w:after="50" w:line="259" w:lineRule="auto"/>
        <w:ind w:left="312" w:hanging="142"/>
      </w:pPr>
      <w:r>
        <w:rPr>
          <w:rFonts w:ascii="Carlito" w:hAnsi="Carlito"/>
          <w:sz w:val="20"/>
        </w:rPr>
        <w:t>принимаю цель и предлагаю конкретную альтернативу;</w:t>
      </w:r>
    </w:p>
    <w:p>
      <w:pPr>
        <w:pStyle w:val="ListBullet"/>
        <w:widowControl/>
        <w:spacing w:after="50" w:line="259" w:lineRule="auto"/>
        <w:ind w:left="312" w:hanging="142"/>
      </w:pPr>
      <w:r>
        <w:rPr>
          <w:rFonts w:ascii="Carlito" w:hAnsi="Carlito"/>
          <w:sz w:val="20"/>
        </w:rPr>
        <w:t>не принимаю с изложением причин;</w:t>
      </w:r>
    </w:p>
    <w:p>
      <w:pPr>
        <w:pStyle w:val="ListBullet"/>
        <w:widowControl/>
        <w:spacing w:after="50" w:line="259" w:lineRule="auto"/>
        <w:ind w:left="312" w:hanging="142"/>
      </w:pPr>
      <w:r>
        <w:rPr>
          <w:rFonts w:ascii="Carlito" w:hAnsi="Carlito"/>
          <w:sz w:val="20"/>
        </w:rPr>
        <w:t>позиция не представлена.</w:t>
      </w:r>
    </w:p>
    <w:p>
      <w:pPr>
        <w:widowControl/>
        <w:spacing w:after="80" w:line="269" w:lineRule="auto"/>
      </w:pPr>
      <w:r>
        <w:rPr>
          <w:rFonts w:ascii="Carlito" w:hAnsi="Carlito"/>
          <w:i w:val="0"/>
          <w:sz w:val="21"/>
        </w:rPr>
        <w:t>Кандидат обязан раскрыть позицию по всем пунктам, однако официальный оператор проверяет только наличие требуемых полей, сроки, неизменность и техническую сопоставимость. Он не вправе переквалифицировать политический смысл ответа.</w:t>
      </w:r>
    </w:p>
    <w:p>
      <w:pPr>
        <w:widowControl/>
        <w:spacing w:after="80" w:line="269" w:lineRule="auto"/>
      </w:pPr>
      <w:r>
        <w:rPr>
          <w:rFonts w:ascii="Carlito" w:hAnsi="Carlito"/>
          <w:i w:val="0"/>
          <w:sz w:val="21"/>
        </w:rPr>
        <w:t>Условие считается допустимым для сопоставимого представления, если оно сформулировано ясно и позволяет отличить его наступление от произвольного решения самого кандидата. Недопустимое или неопределённое условие не запрещается как политическая речь, но публикуется без официальной отметки «принято» и с полной исходной формулировкой кандидата.</w:t>
      </w:r>
    </w:p>
    <w:p>
      <w:pPr>
        <w:widowControl/>
        <w:spacing w:after="80" w:line="269" w:lineRule="auto"/>
      </w:pPr>
      <w:r>
        <w:rPr>
          <w:rFonts w:ascii="Carlito" w:hAnsi="Carlito"/>
          <w:i w:val="0"/>
          <w:sz w:val="21"/>
        </w:rPr>
        <w:t>Альтернатива представляется в сравнительной карточке: цель, охват, срок, стоимость, правовой эффект, распределительные последствия и основной показатель. Оператор не объявляет альтернативу равнозначной; граждане делают этот вывод самостоятельно.</w:t>
      </w:r>
    </w:p>
    <w:p>
      <w:pPr>
        <w:pStyle w:val="Heading2"/>
        <w:keepNext/>
        <w:widowControl/>
      </w:pPr>
      <w:r>
        <w:t>8. Что общественным поручением не является</w:t>
      </w:r>
    </w:p>
    <w:p>
      <w:pPr>
        <w:widowControl/>
        <w:spacing w:after="80" w:line="269" w:lineRule="auto"/>
      </w:pPr>
      <w:r>
        <w:rPr>
          <w:rFonts w:ascii="Carlito" w:hAnsi="Carlito"/>
          <w:i w:val="0"/>
          <w:sz w:val="21"/>
        </w:rPr>
        <w:t>Общественное поручение не является:</w:t>
      </w:r>
    </w:p>
    <w:p>
      <w:pPr>
        <w:pStyle w:val="ListBullet"/>
        <w:widowControl/>
        <w:spacing w:after="50" w:line="259" w:lineRule="auto"/>
        <w:ind w:left="312" w:hanging="142"/>
      </w:pPr>
      <w:r>
        <w:rPr>
          <w:rFonts w:ascii="Carlito" w:hAnsi="Carlito"/>
          <w:sz w:val="20"/>
        </w:rPr>
        <w:t>полной программой государства или кандидата;</w:t>
      </w:r>
    </w:p>
    <w:p>
      <w:pPr>
        <w:pStyle w:val="ListBullet"/>
        <w:widowControl/>
        <w:spacing w:after="50" w:line="259" w:lineRule="auto"/>
        <w:ind w:left="312" w:hanging="142"/>
      </w:pPr>
      <w:r>
        <w:rPr>
          <w:rFonts w:ascii="Carlito" w:hAnsi="Carlito"/>
          <w:sz w:val="20"/>
        </w:rPr>
        <w:t>референдумным законом, если не соблюдена отдельная конституционная процедура;</w:t>
      </w:r>
    </w:p>
    <w:p>
      <w:pPr>
        <w:pStyle w:val="ListBullet"/>
        <w:widowControl/>
        <w:spacing w:after="50" w:line="259" w:lineRule="auto"/>
        <w:ind w:left="312" w:hanging="142"/>
      </w:pPr>
      <w:r>
        <w:rPr>
          <w:rFonts w:ascii="Carlito" w:hAnsi="Carlito"/>
          <w:sz w:val="20"/>
        </w:rPr>
        <w:t>указанием депутату голосовать определённым образом;</w:t>
      </w:r>
    </w:p>
    <w:p>
      <w:pPr>
        <w:pStyle w:val="ListBullet"/>
        <w:widowControl/>
        <w:spacing w:after="50" w:line="259" w:lineRule="auto"/>
        <w:ind w:left="312" w:hanging="142"/>
      </w:pPr>
      <w:r>
        <w:rPr>
          <w:rFonts w:ascii="Carlito" w:hAnsi="Carlito"/>
          <w:sz w:val="20"/>
        </w:rPr>
        <w:t>решением о виновности, наказании или правах конкретного лица;</w:t>
      </w:r>
    </w:p>
    <w:p>
      <w:pPr>
        <w:pStyle w:val="ListBullet"/>
        <w:widowControl/>
        <w:spacing w:after="50" w:line="259" w:lineRule="auto"/>
        <w:ind w:left="312" w:hanging="142"/>
      </w:pPr>
      <w:r>
        <w:rPr>
          <w:rFonts w:ascii="Carlito" w:hAnsi="Carlito"/>
          <w:sz w:val="20"/>
        </w:rPr>
        <w:t>основанием отмены основных прав или судебной независимости;</w:t>
      </w:r>
    </w:p>
    <w:p>
      <w:pPr>
        <w:pStyle w:val="ListBullet"/>
        <w:widowControl/>
        <w:spacing w:after="50" w:line="259" w:lineRule="auto"/>
        <w:ind w:left="312" w:hanging="142"/>
      </w:pPr>
      <w:r>
        <w:rPr>
          <w:rFonts w:ascii="Carlito" w:hAnsi="Carlito"/>
          <w:sz w:val="20"/>
        </w:rPr>
        <w:t>автоматическим разрешением бюджетных расходов;</w:t>
      </w:r>
    </w:p>
    <w:p>
      <w:pPr>
        <w:pStyle w:val="ListBullet"/>
        <w:widowControl/>
        <w:spacing w:after="50" w:line="259" w:lineRule="auto"/>
        <w:ind w:left="312" w:hanging="142"/>
      </w:pPr>
      <w:r>
        <w:rPr>
          <w:rFonts w:ascii="Carlito" w:hAnsi="Carlito"/>
          <w:sz w:val="20"/>
        </w:rPr>
        <w:t>приказом региону или муниципалитету принять нефинансируемое обязательство;</w:t>
      </w:r>
    </w:p>
    <w:p>
      <w:pPr>
        <w:pStyle w:val="ListBullet"/>
        <w:widowControl/>
        <w:spacing w:after="50" w:line="259" w:lineRule="auto"/>
        <w:ind w:left="312" w:hanging="142"/>
      </w:pPr>
      <w:r>
        <w:rPr>
          <w:rFonts w:ascii="Carlito" w:hAnsi="Carlito"/>
          <w:sz w:val="20"/>
        </w:rPr>
        <w:t>обещанием гарантировать результат, зависящий от независимых субъектов или внешней среды;</w:t>
      </w:r>
    </w:p>
    <w:p>
      <w:pPr>
        <w:pStyle w:val="ListBullet"/>
        <w:widowControl/>
        <w:spacing w:after="50" w:line="259" w:lineRule="auto"/>
        <w:ind w:left="312" w:hanging="142"/>
      </w:pPr>
      <w:r>
        <w:rPr>
          <w:rFonts w:ascii="Carlito" w:hAnsi="Carlito"/>
          <w:sz w:val="20"/>
        </w:rPr>
        <w:t>официальным рейтингом кандидатов;</w:t>
      </w:r>
    </w:p>
    <w:p>
      <w:pPr>
        <w:pStyle w:val="ListBullet"/>
        <w:widowControl/>
        <w:spacing w:after="50" w:line="259" w:lineRule="auto"/>
        <w:ind w:left="312" w:hanging="142"/>
      </w:pPr>
      <w:r>
        <w:rPr>
          <w:rFonts w:ascii="Carlito" w:hAnsi="Carlito"/>
          <w:sz w:val="20"/>
        </w:rPr>
        <w:t>основанием политического профилирования участников.</w:t>
      </w:r>
    </w:p>
    <w:p>
      <w:pPr>
        <w:pStyle w:val="Heading2"/>
        <w:keepNext/>
        <w:widowControl/>
      </w:pPr>
      <w:r>
        <w:t>9. Субъекты и правомочия</w:t>
      </w:r>
    </w:p>
    <w:p>
      <w:pPr>
        <w:widowControl/>
        <w:spacing w:after="80" w:line="269" w:lineRule="auto"/>
      </w:pPr>
      <w:r>
        <w:rPr>
          <w:rFonts w:ascii="Carlito" w:hAnsi="Carlito"/>
          <w:i w:val="0"/>
          <w:sz w:val="21"/>
        </w:rPr>
        <w:t>Граждане являются источником инициатив и участниками формирования поручения. Кандидаты являются авторами собственных деклараций. Избранные органы действуют только в пределах конституционной компетенции. Эксперты раскрывают последствия и неопределённость. Оператор обеспечивает процедуру и данные, но не обладает властью определять политическую значимость содержания. Суд защищает право и процедуру, но не заменяет политический выбор.</w:t>
      </w:r>
    </w:p>
    <w:p>
      <w:pPr>
        <w:widowControl/>
        <w:spacing w:after="80" w:line="269" w:lineRule="auto"/>
      </w:pPr>
      <w:r>
        <w:rPr>
          <w:rFonts w:ascii="Carlito" w:hAnsi="Carlito"/>
          <w:i w:val="0"/>
          <w:sz w:val="21"/>
        </w:rPr>
        <w:t>Ни один субъект не может одновременно окончательно редактировать инициативу, решать её допустимость, формировать итоговый перечень, толковать декларацию кандидата и оценивать исполнение.</w:t>
      </w:r>
    </w:p>
    <w:p>
      <w:pPr>
        <w:pStyle w:val="Heading2"/>
        <w:keepNext/>
        <w:widowControl/>
      </w:pPr>
      <w:r>
        <w:t>10. Контроль, обжалование и ответственность</w:t>
      </w:r>
    </w:p>
    <w:p>
      <w:pPr>
        <w:widowControl/>
        <w:spacing w:after="80" w:line="269" w:lineRule="auto"/>
      </w:pPr>
      <w:r>
        <w:rPr>
          <w:rFonts w:ascii="Carlito" w:hAnsi="Carlito"/>
          <w:i w:val="0"/>
          <w:sz w:val="21"/>
        </w:rPr>
        <w:t>Юридически обжалуются нарушения доступа, равенства, неизменности текста, компетенции, закрытых оснований недопустимости, сроков, обязательной публикации, защиты данных и иных точно определённых процедурных прав.</w:t>
      </w:r>
    </w:p>
    <w:p>
      <w:pPr>
        <w:widowControl/>
        <w:spacing w:after="80" w:line="269" w:lineRule="auto"/>
      </w:pPr>
      <w:r>
        <w:rPr>
          <w:rFonts w:ascii="Carlito" w:hAnsi="Carlito"/>
          <w:i w:val="0"/>
          <w:sz w:val="21"/>
        </w:rPr>
        <w:t>Политическое несогласие с целью инициативы, позицией кандидата, выбором способа или аналитическим выводом не превращается в административный спор о единственно правильной политике. Для таких разногласий обеспечиваются право на ответ, публикация особого мнения и открытая конкуренция оценок.</w:t>
      </w:r>
    </w:p>
    <w:p>
      <w:pPr>
        <w:widowControl/>
        <w:spacing w:after="80" w:line="269" w:lineRule="auto"/>
      </w:pPr>
      <w:r>
        <w:rPr>
          <w:rFonts w:ascii="Carlito" w:hAnsi="Carlito"/>
          <w:i w:val="0"/>
          <w:sz w:val="21"/>
        </w:rPr>
        <w:t>Ответственность наступает за умышленное искажение текста или результата, фальсификацию данных, сокрытие конфликта интересов, незаконное связывание политических данных, нарушение точной процессуальной обязанности и неисполнение судебного решения. Добросовестный прогноз, политическое несогласие и недостижение сложного результата сами по себе правонарушением не являются.</w:t>
      </w:r>
    </w:p>
    <w:p>
      <w:pPr>
        <w:pStyle w:val="Heading2"/>
        <w:keepNext/>
        <w:widowControl/>
      </w:pPr>
      <w:r>
        <w:t>11. Специальные и чрезвычайные случаи</w:t>
      </w:r>
    </w:p>
    <w:p>
      <w:pPr>
        <w:widowControl/>
        <w:spacing w:after="80" w:line="269" w:lineRule="auto"/>
      </w:pPr>
      <w:r>
        <w:rPr>
          <w:rFonts w:ascii="Carlito" w:hAnsi="Carlito"/>
          <w:i w:val="0"/>
          <w:sz w:val="21"/>
        </w:rPr>
        <w:t>В чрезвычайных обстоятельствах допускается временное изменение календаря или канала участия только на основании заранее установленного закона, при необходимости, соразмерности, ограниченном сроке и независимом последующем контроле. Чрезвычайный режим не может:</w:t>
      </w:r>
    </w:p>
    <w:p>
      <w:pPr>
        <w:pStyle w:val="ListBullet"/>
        <w:widowControl/>
        <w:spacing w:after="50" w:line="259" w:lineRule="auto"/>
        <w:ind w:left="312" w:hanging="142"/>
      </w:pPr>
      <w:r>
        <w:rPr>
          <w:rFonts w:ascii="Carlito" w:hAnsi="Carlito"/>
          <w:sz w:val="20"/>
        </w:rPr>
        <w:t>создавать единую историю политических действий;</w:t>
      </w:r>
    </w:p>
    <w:p>
      <w:pPr>
        <w:pStyle w:val="ListBullet"/>
        <w:widowControl/>
        <w:spacing w:after="50" w:line="259" w:lineRule="auto"/>
        <w:ind w:left="312" w:hanging="142"/>
      </w:pPr>
      <w:r>
        <w:rPr>
          <w:rFonts w:ascii="Carlito" w:hAnsi="Carlito"/>
          <w:sz w:val="20"/>
        </w:rPr>
        <w:t>устранять все недигитальные каналы без доступной замены;</w:t>
      </w:r>
    </w:p>
    <w:p>
      <w:pPr>
        <w:pStyle w:val="ListBullet"/>
        <w:widowControl/>
        <w:spacing w:after="50" w:line="259" w:lineRule="auto"/>
        <w:ind w:left="312" w:hanging="142"/>
      </w:pPr>
      <w:r>
        <w:rPr>
          <w:rFonts w:ascii="Carlito" w:hAnsi="Carlito"/>
          <w:sz w:val="20"/>
        </w:rPr>
        <w:t>изменять содержание уже утверждённого поручения;</w:t>
      </w:r>
    </w:p>
    <w:p>
      <w:pPr>
        <w:pStyle w:val="ListBullet"/>
        <w:widowControl/>
        <w:spacing w:after="50" w:line="259" w:lineRule="auto"/>
        <w:ind w:left="312" w:hanging="142"/>
      </w:pPr>
      <w:r>
        <w:rPr>
          <w:rFonts w:ascii="Carlito" w:hAnsi="Carlito"/>
          <w:sz w:val="20"/>
        </w:rPr>
        <w:t>использоваться для выборочного исключения инициатив или кандидатов;</w:t>
      </w:r>
    </w:p>
    <w:p>
      <w:pPr>
        <w:pStyle w:val="ListBullet"/>
        <w:widowControl/>
        <w:spacing w:after="50" w:line="259" w:lineRule="auto"/>
        <w:ind w:left="312" w:hanging="142"/>
      </w:pPr>
      <w:r>
        <w:rPr>
          <w:rFonts w:ascii="Carlito" w:hAnsi="Carlito"/>
          <w:sz w:val="20"/>
        </w:rPr>
        <w:t>постоянно продлеваться одним и тем же органом без внешнего подтверждения.</w:t>
      </w:r>
    </w:p>
    <w:p>
      <w:pPr>
        <w:pStyle w:val="Heading2"/>
        <w:keepNext/>
        <w:widowControl/>
      </w:pPr>
      <w:r>
        <w:t>12. Наиболее сильные возражения и встроенные ответы</w:t>
      </w:r>
    </w:p>
    <w:p>
      <w:pPr>
        <w:pStyle w:val="Heading3"/>
        <w:keepNext/>
        <w:widowControl/>
      </w:pPr>
      <w:r>
        <w:t>12.1. «Термин “поручение” создаёт ложную договорную метафору»</w:t>
      </w:r>
    </w:p>
    <w:p>
      <w:pPr>
        <w:widowControl/>
        <w:spacing w:after="60" w:line="269" w:lineRule="auto"/>
      </w:pPr>
      <w:r>
        <w:rPr>
          <w:rFonts w:ascii="Carlito" w:hAnsi="Carlito"/>
          <w:i/>
          <w:sz w:val="21"/>
        </w:rPr>
        <w:t>Избиратели не являются единым принципалом, а избранный орган — простым агентом.</w:t>
      </w:r>
    </w:p>
    <w:p>
      <w:pPr>
        <w:widowControl/>
        <w:spacing w:after="100" w:line="264" w:lineRule="auto"/>
      </w:pPr>
      <w:r>
        <w:rPr>
          <w:rFonts w:ascii="Carlito" w:hAnsi="Carlito"/>
          <w:b/>
          <w:color w:val="1A3754"/>
          <w:sz w:val="21"/>
        </w:rPr>
        <w:t xml:space="preserve">Встроенный ответ. </w:t>
      </w:r>
      <w:r>
        <w:rPr>
          <w:rFonts w:ascii="Carlito" w:hAnsi="Carlito"/>
          <w:sz w:val="21"/>
        </w:rPr>
        <w:t>Доктрина сохраняет название как политико-институциональную концепцию, но юридически разводит общественный результат, декларацию кандидата и акт реализации. Поручение не означает гражданско-правовой договор и не отменяет политическое усмотрение.</w:t>
      </w:r>
    </w:p>
    <w:p>
      <w:pPr>
        <w:pStyle w:val="Heading3"/>
        <w:keepNext/>
        <w:widowControl/>
      </w:pPr>
      <w:r>
        <w:t>12.2. «Официальный документ будет сакрализован как высшая воля»</w:t>
      </w:r>
    </w:p>
    <w:p>
      <w:pPr>
        <w:widowControl/>
        <w:spacing w:after="60" w:line="269" w:lineRule="auto"/>
      </w:pPr>
      <w:r>
        <w:rPr>
          <w:rFonts w:ascii="Carlito" w:hAnsi="Carlito"/>
          <w:i/>
          <w:sz w:val="21"/>
        </w:rPr>
        <w:t>Государство сможет избирательно цитировать удобные пункты и игнорировать несогласие.</w:t>
      </w:r>
    </w:p>
    <w:p>
      <w:pPr>
        <w:widowControl/>
        <w:spacing w:after="100" w:line="264" w:lineRule="auto"/>
      </w:pPr>
      <w:r>
        <w:rPr>
          <w:rFonts w:ascii="Carlito" w:hAnsi="Carlito"/>
          <w:b/>
          <w:color w:val="1A3754"/>
          <w:sz w:val="21"/>
        </w:rPr>
        <w:t xml:space="preserve">Встроенный ответ. </w:t>
      </w:r>
      <w:r>
        <w:rPr>
          <w:rFonts w:ascii="Carlito" w:hAnsi="Carlito"/>
          <w:sz w:val="21"/>
        </w:rPr>
        <w:t>Мандат обязательно содержит поддержку, явку, разногласия, срок, пределы правового эффекта и запрет расширительного толкования. Любое официальное цитирование без этих данных признаётся неполным представлением.</w:t>
      </w:r>
    </w:p>
    <w:p>
      <w:pPr>
        <w:pStyle w:val="Heading3"/>
        <w:keepNext/>
        <w:widowControl/>
      </w:pPr>
      <w:r>
        <w:t>12.3. «Классификация ответа кандидата станет государственным толкованием речи»</w:t>
      </w:r>
    </w:p>
    <w:p>
      <w:pPr>
        <w:widowControl/>
        <w:spacing w:after="60" w:line="269" w:lineRule="auto"/>
      </w:pPr>
      <w:r>
        <w:rPr>
          <w:rFonts w:ascii="Carlito" w:hAnsi="Carlito"/>
          <w:i/>
          <w:sz w:val="21"/>
        </w:rPr>
        <w:t>Даже нейтральная категория может изменить восприятие избирателя.</w:t>
      </w:r>
    </w:p>
    <w:p>
      <w:pPr>
        <w:widowControl/>
        <w:spacing w:after="100" w:line="264" w:lineRule="auto"/>
      </w:pPr>
      <w:r>
        <w:rPr>
          <w:rFonts w:ascii="Carlito" w:hAnsi="Carlito"/>
          <w:b/>
          <w:color w:val="1A3754"/>
          <w:sz w:val="21"/>
        </w:rPr>
        <w:t xml:space="preserve">Встроенный ответ. </w:t>
      </w:r>
      <w:r>
        <w:rPr>
          <w:rFonts w:ascii="Carlito" w:hAnsi="Carlito"/>
          <w:sz w:val="21"/>
        </w:rPr>
        <w:t>Категорию выбирает сам кандидат. Оператор проверяет только формальную полноту и публикует полный текст. Спор решается исправлением фактической ошибки и правом на ответ, а не официальным толкованием политического смысла.</w:t>
      </w:r>
    </w:p>
    <w:p>
      <w:pPr>
        <w:pStyle w:val="Heading2"/>
        <w:keepNext/>
        <w:widowControl/>
      </w:pPr>
      <w:r>
        <w:t>13. Связь с другими главами</w:t>
      </w:r>
    </w:p>
    <w:p>
      <w:pPr>
        <w:widowControl/>
        <w:spacing w:after="80" w:line="269" w:lineRule="auto"/>
      </w:pPr>
      <w:r>
        <w:rPr>
          <w:rFonts w:ascii="Carlito" w:hAnsi="Carlito"/>
          <w:i w:val="0"/>
          <w:sz w:val="21"/>
        </w:rPr>
        <w:t>Правовые последствия определений раскрываются в главе V. Защита смысловой целостности, экспертиза, правовая допустимость, отбор, голосование, декларации, реестр, мониторинг и данные подлежат детализации в специальных главах без изменения настоящих определений.</w:t>
      </w:r>
    </w:p>
    <w:p>
      <w:pPr>
        <w:pStyle w:val="Heading2"/>
        <w:keepNext/>
        <w:widowControl/>
      </w:pPr>
      <w:r>
        <w:t>14. Вывод</w:t>
      </w:r>
    </w:p>
    <w:p>
      <w:pPr>
        <w:widowControl/>
        <w:spacing w:after="80" w:line="269" w:lineRule="auto"/>
      </w:pPr>
      <w:r>
        <w:rPr>
          <w:rFonts w:ascii="Carlito" w:hAnsi="Carlito"/>
          <w:i w:val="0"/>
          <w:sz w:val="21"/>
        </w:rPr>
        <w:t>Общественное поручение — это не пожелание и не самостоятельный закон. Это ограниченный граждански сформированный перечень целей, официальное утверждение которого запускает заранее определённый режим предвыборного отношения и послевыборной подотчётности. Чёткое разделение объектов является обязательным условием всей последующей архитектуры.</w:t>
      </w:r>
    </w:p>
    <w:p>
      <w:pPr>
        <w:widowControl/>
      </w:pPr>
      <w:r>
        <w:br w:type="page"/>
      </w:r>
    </w:p>
    <w:p>
      <w:pPr>
        <w:pStyle w:val="Heading1"/>
        <w:keepNext/>
        <w:pageBreakBefore/>
        <w:spacing w:before="0" w:after="160"/>
        <w:widowControl/>
        <w:pBdr>
          <w:bottom w:val="single" w:sz="5" w:space="4" w:color="B4C6E7"/>
        </w:pBdr>
      </w:pPr>
      <w:r>
        <w:t>Глава III. Цель, задачи и пределы Доктрины</w:t>
      </w:r>
    </w:p>
    <w:p>
      <w:pPr>
        <w:pStyle w:val="Heading2"/>
        <w:keepNext/>
        <w:widowControl/>
      </w:pPr>
      <w:r>
        <w:t>1. Предмет и цель главы</w:t>
      </w:r>
    </w:p>
    <w:p>
      <w:pPr>
        <w:widowControl/>
        <w:spacing w:after="80" w:line="269" w:lineRule="auto"/>
      </w:pPr>
      <w:r>
        <w:rPr>
          <w:rFonts w:ascii="Carlito" w:hAnsi="Carlito"/>
          <w:i w:val="0"/>
          <w:sz w:val="21"/>
        </w:rPr>
        <w:t>Настоящая глава устанавливает предназначение Доктрины, ожидаемые результаты, пределы допустимой институциональной конструкции и критерии, которым должны соответствовать как универсальная модель, так и её национальные адаптации.</w:t>
      </w:r>
    </w:p>
    <w:p>
      <w:pPr>
        <w:widowControl/>
        <w:spacing w:after="80" w:line="269" w:lineRule="auto"/>
      </w:pPr>
      <w:r>
        <w:rPr>
          <w:rFonts w:ascii="Carlito" w:hAnsi="Carlito"/>
          <w:i w:val="0"/>
          <w:sz w:val="21"/>
        </w:rPr>
        <w:t>Положения настоящей главы являются надглавным фильтром. Специальная норма другой главы не применяется в той мере, в какой она расширяет полномочия, снижает основные права, скрывает политическое решение под видом экспертизы, создаёт самостоятельный источник права или превращает обязательный цикл в консультацию.</w:t>
      </w:r>
    </w:p>
    <w:p>
      <w:pPr>
        <w:pStyle w:val="Heading2"/>
        <w:keepNext/>
        <w:widowControl/>
      </w:pPr>
      <w:r>
        <w:t>2. Предназначение Доктрины</w:t>
      </w:r>
    </w:p>
    <w:p>
      <w:pPr>
        <w:widowControl/>
        <w:spacing w:after="80" w:line="269" w:lineRule="auto"/>
      </w:pPr>
      <w:r>
        <w:rPr>
          <w:rFonts w:ascii="Carlito" w:hAnsi="Carlito"/>
          <w:i w:val="0"/>
          <w:sz w:val="21"/>
        </w:rPr>
        <w:t>Доктрина предназначена для создания полного и прослеживаемого цикла общественного поручения:</w:t>
      </w:r>
    </w:p>
    <w:p>
      <w:pPr>
        <w:pStyle w:val="DoctrineQuote"/>
        <w:keepLines/>
        <w:widowControl/>
        <w:spacing w:before="80" w:after="140"/>
        <w:ind w:left="369" w:right="198"/>
      </w:pPr>
      <w:r>
        <w:rPr>
          <w:rFonts w:ascii="Carlito" w:hAnsi="Carlito"/>
          <w:sz w:val="21"/>
        </w:rPr>
        <w:t>инициатива → поддержка → сохранение смысла → раскрытие последствий → правовая проверка → общественное обсуждение → итоговый выбор → общественный мандат → декларации кандидатов → выборы → реестр подотчётной реализации → план и действия → данные → оценка → новый цикл.</w:t>
      </w:r>
    </w:p>
    <w:p>
      <w:pPr>
        <w:widowControl/>
        <w:spacing w:after="80" w:line="269" w:lineRule="auto"/>
      </w:pPr>
      <w:r>
        <w:rPr>
          <w:rFonts w:ascii="Carlito" w:hAnsi="Carlito"/>
          <w:i w:val="0"/>
          <w:sz w:val="21"/>
        </w:rPr>
        <w:t>Каждая стрелка обозначает самостоятельный переход с определённым субъектом, сроком, основанием, контролем и способом обжалования. Отсутствие хотя бы одного из этих элементов не может компенсироваться общей декларацией о прозрачности или независимости.</w:t>
      </w:r>
    </w:p>
    <w:p>
      <w:pPr>
        <w:pStyle w:val="Heading2"/>
        <w:keepNext/>
        <w:widowControl/>
      </w:pPr>
      <w:r>
        <w:t>3. Главная цель</w:t>
      </w:r>
    </w:p>
    <w:p>
      <w:pPr>
        <w:pStyle w:val="DoctrineQuote"/>
        <w:keepLines/>
        <w:widowControl/>
        <w:spacing w:before="80" w:after="140"/>
        <w:ind w:left="369" w:right="198"/>
      </w:pPr>
      <w:r>
        <w:rPr>
          <w:rFonts w:ascii="Carlito" w:hAnsi="Carlito"/>
          <w:sz w:val="21"/>
        </w:rPr>
        <w:t>Главная цель Доктрины — предоставить гражданам реальный, защищённый и ограниченный механизм определения части стратегических целей публичной власти, сохранив конституционные компетенции, профессиональное управление, политический плюрализм и способность государства адаптироваться к новым обстоятельствам.</w:t>
      </w:r>
    </w:p>
    <w:p>
      <w:pPr>
        <w:widowControl/>
        <w:spacing w:after="80" w:line="269" w:lineRule="auto"/>
      </w:pPr>
      <w:r>
        <w:rPr>
          <w:rFonts w:ascii="Carlito" w:hAnsi="Carlito"/>
          <w:i w:val="0"/>
          <w:sz w:val="21"/>
        </w:rPr>
        <w:t>Доктрина не гарантирует автоматического повышения доверия, качества решений или эффективности. Такие эффекты являются гипотезами, подлежащими независимой проверке. Главная цель достигнута только тогда, когда участие граждан получает измеримый институциональный эффект, а этот эффект не приобретается ценой параллельной власти, нарушения прав или административной непригодности.</w:t>
      </w:r>
    </w:p>
    <w:p>
      <w:pPr>
        <w:pStyle w:val="Heading2"/>
        <w:keepNext/>
        <w:widowControl/>
      </w:pPr>
      <w:r>
        <w:t>4. Основные задачи</w:t>
      </w:r>
    </w:p>
    <w:p>
      <w:pPr>
        <w:pStyle w:val="Heading3"/>
        <w:keepNext/>
        <w:widowControl/>
      </w:pPr>
      <w:r>
        <w:t>4.1. Обеспечить общественное происхождение повестки</w:t>
      </w:r>
    </w:p>
    <w:p>
      <w:pPr>
        <w:widowControl/>
        <w:spacing w:after="80" w:line="269" w:lineRule="auto"/>
      </w:pPr>
      <w:r>
        <w:rPr>
          <w:rFonts w:ascii="Carlito" w:hAnsi="Carlito"/>
          <w:i w:val="0"/>
          <w:sz w:val="21"/>
        </w:rPr>
        <w:t>Создать открытый цифровой и недигитальный вход для инициатив, исключить монополию государства, партий, бизнеса, экспертов и платформ на постановку вопросов и сохранить неизменяемый исходный текст.</w:t>
      </w:r>
    </w:p>
    <w:p>
      <w:pPr>
        <w:pStyle w:val="Heading3"/>
        <w:keepNext/>
        <w:widowControl/>
      </w:pPr>
      <w:r>
        <w:t>4.2. Обеспечить информированный выбор</w:t>
      </w:r>
    </w:p>
    <w:p>
      <w:pPr>
        <w:widowControl/>
        <w:spacing w:after="80" w:line="269" w:lineRule="auto"/>
      </w:pPr>
      <w:r>
        <w:rPr>
          <w:rFonts w:ascii="Carlito" w:hAnsi="Carlito"/>
          <w:i w:val="0"/>
          <w:sz w:val="21"/>
        </w:rPr>
        <w:t>Раскрывать право, компетенцию, диапазон стоимости, риски, распределительные последствия, альтернативы, неопределённость и особые мнения без предоставления экспертам права политического вето.</w:t>
      </w:r>
    </w:p>
    <w:p>
      <w:pPr>
        <w:pStyle w:val="Heading3"/>
        <w:keepNext/>
        <w:widowControl/>
      </w:pPr>
      <w:r>
        <w:t>4.3. Сформировать ограниченный и понятный перечень</w:t>
      </w:r>
    </w:p>
    <w:p>
      <w:pPr>
        <w:widowControl/>
        <w:spacing w:after="80" w:line="269" w:lineRule="auto"/>
      </w:pPr>
      <w:r>
        <w:rPr>
          <w:rFonts w:ascii="Carlito" w:hAnsi="Carlito"/>
          <w:i w:val="0"/>
          <w:sz w:val="21"/>
        </w:rPr>
        <w:t>Защитить граждан от перегрузки, не создавая закрытого содержательного предварительного списка. Сокращение перечня допускается только по заранее известным порогам, узкому правовому фильтру, правилам одного предмета и наблюдаемой процедуре выбора между прошедшими инициативами.</w:t>
      </w:r>
    </w:p>
    <w:p>
      <w:pPr>
        <w:pStyle w:val="Heading3"/>
        <w:keepNext/>
        <w:widowControl/>
      </w:pPr>
      <w:r>
        <w:t>4.4. Сделать позиции кандидатов сопоставимыми</w:t>
      </w:r>
    </w:p>
    <w:p>
      <w:pPr>
        <w:widowControl/>
        <w:spacing w:after="80" w:line="269" w:lineRule="auto"/>
      </w:pPr>
      <w:r>
        <w:rPr>
          <w:rFonts w:ascii="Carlito" w:hAnsi="Carlito"/>
          <w:i w:val="0"/>
          <w:sz w:val="21"/>
        </w:rPr>
        <w:t>Обязать кандидатов представить собственные позиции в единой структуре, сохранив полный текст, право на несогласие и запрет официального рейтинга или государственного толкования политического смысла.</w:t>
      </w:r>
    </w:p>
    <w:p>
      <w:pPr>
        <w:pStyle w:val="Heading3"/>
        <w:keepNext/>
        <w:widowControl/>
      </w:pPr>
      <w:r>
        <w:t>4.5. Сохранить ограниченный предел отказа</w:t>
      </w:r>
    </w:p>
    <w:p>
      <w:pPr>
        <w:widowControl/>
        <w:spacing w:after="80" w:line="269" w:lineRule="auto"/>
      </w:pPr>
      <w:r>
        <w:t>Обеспечить, чтобы общественно сформированная повестка не могла быть полностью проигнорирована кандидатами. Обязательная полная декларация и ограниченный предел непринятия определяют универсальный статус присоединения кандидата к общественному мандату, но сами по себе не являются универсальным основанием отказа в регистрации или ограничения пассивного избирательного права.</w:t>
      </w:r>
    </w:p>
    <w:p>
      <w:pPr>
        <w:pStyle w:val="Heading3"/>
        <w:keepNext/>
        <w:widowControl/>
      </w:pPr>
      <w:r>
        <w:t>4.6. Преобразовать принятие в проверяемую реализацию</w:t>
      </w:r>
    </w:p>
    <w:p>
      <w:pPr>
        <w:widowControl/>
        <w:spacing w:after="80" w:line="269" w:lineRule="auto"/>
      </w:pPr>
      <w:r>
        <w:rPr>
          <w:rFonts w:ascii="Carlito" w:hAnsi="Carlito"/>
          <w:i w:val="0"/>
          <w:sz w:val="21"/>
        </w:rPr>
        <w:t>После избрания обеспечить план, собственные действия, указание зависимостей, данные, сроки, мотивировку изменений и независимую оценку без фиктивного обещания гарантированного результата.</w:t>
      </w:r>
    </w:p>
    <w:p>
      <w:pPr>
        <w:pStyle w:val="Heading3"/>
        <w:keepNext/>
        <w:widowControl/>
      </w:pPr>
      <w:r>
        <w:t>4.7. Разделить юридическую и политическую ответственность</w:t>
      </w:r>
    </w:p>
    <w:p>
      <w:pPr>
        <w:widowControl/>
        <w:spacing w:after="80" w:line="269" w:lineRule="auto"/>
      </w:pPr>
      <w:r>
        <w:rPr>
          <w:rFonts w:ascii="Carlito" w:hAnsi="Carlito"/>
          <w:i w:val="0"/>
          <w:sz w:val="21"/>
        </w:rPr>
        <w:t>Юридически защищать точные права и обязанности; политически оценивать курс, качество выбора способов и достигнутый общественный результат. Исключить специальные наказания за политическое неисполнение.</w:t>
      </w:r>
    </w:p>
    <w:p>
      <w:pPr>
        <w:pStyle w:val="Heading3"/>
        <w:keepNext/>
        <w:widowControl/>
      </w:pPr>
      <w:r>
        <w:t>4.8. Защитить политическую автономию граждан</w:t>
      </w:r>
    </w:p>
    <w:p>
      <w:pPr>
        <w:widowControl/>
        <w:spacing w:after="80" w:line="269" w:lineRule="auto"/>
      </w:pPr>
      <w:r>
        <w:rPr>
          <w:rFonts w:ascii="Carlito" w:hAnsi="Carlito"/>
          <w:i w:val="0"/>
          <w:sz w:val="21"/>
        </w:rPr>
        <w:t>Проверять право участия, не создавая централизованную историю политических действий, обеспечивать полноценный офлайн-контур и предотвращать использование участия в трудовых, налоговых, социальных, правоохранительных или коммерческих решениях.</w:t>
      </w:r>
    </w:p>
    <w:p>
      <w:pPr>
        <w:pStyle w:val="Heading3"/>
        <w:keepNext/>
        <w:widowControl/>
      </w:pPr>
      <w:r>
        <w:t>4.9. Сделать модель проверяемой и обратимой</w:t>
      </w:r>
    </w:p>
    <w:p>
      <w:pPr>
        <w:widowControl/>
        <w:spacing w:after="80" w:line="269" w:lineRule="auto"/>
      </w:pPr>
      <w:r>
        <w:rPr>
          <w:rFonts w:ascii="Carlito" w:hAnsi="Carlito"/>
          <w:i w:val="0"/>
          <w:sz w:val="21"/>
        </w:rPr>
        <w:t>Внедрять систему поэтапно, с предварительно зарегистрированными критериями успеха и провала, независимой оценкой, автоматическим прекращением и запретом национального масштабирования по результатам одного символического пилота.</w:t>
      </w:r>
    </w:p>
    <w:p>
      <w:pPr>
        <w:pStyle w:val="Heading2"/>
        <w:keepNext/>
        <w:widowControl/>
      </w:pPr>
      <w:r>
        <w:t>5. Функциональные роли</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44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Функция</w:t>
            </w:r>
          </w:p>
        </w:tc>
        <w:tc>
          <w:tcPr>
            <w:tcW w:type="dxa" w:w="2268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Основной носитель</w:t>
            </w:r>
          </w:p>
        </w:tc>
        <w:tc>
          <w:tcPr>
            <w:tcW w:type="dxa" w:w="2196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Предел</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Инициирование</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Граждане и их объединения.</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Государство не получает преимущественного канала.</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Техническая регистрация</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Процессный оператор.</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Не оценивает политическую значимость.</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Редакционная помощь</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Временная профессиональная служба под контролем автора.</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Не изменяет цель без повторного подтверждения.</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Экспертиза последствий</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Плюралистические экспертные группы.</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Информирует, но не исключает по мотивам целесообразности.</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Правовая допустимость</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Узко уполномоченный правовой контур с судебной финальностью.</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Применяет закрытые основания, а не государственный интерес.</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Общественный выбор</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Граждане в равной и тайной процедуре.</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Не изменяет компетенцию и права.</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Позиция кандидата</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Сам кандидат.</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Оператор не толкует смысл.</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Реализация</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Избранные и иные компетентные органы.</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Каждый отвечает только за собственные полномочия.</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Оценка</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Независимый, плюралистический и временный контур.</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Не создаёт официальный политический приговор.</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Судебная защита</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Компетентный суд.</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Не выбирает политический курс.</w:t>
            </w:r>
          </w:p>
        </w:tc>
      </w:tr>
    </w:tbl>
    <w:p>
      <w:pPr>
        <w:widowControl/>
        <w:spacing w:after="80" w:line="269" w:lineRule="auto"/>
      </w:pPr>
      <w:r>
        <w:rPr>
          <w:rFonts w:ascii="Carlito" w:hAnsi="Carlito"/>
          <w:i w:val="0"/>
          <w:sz w:val="21"/>
        </w:rPr>
        <w:t>Функции могут размещаться в существующих органах. Совмещение допускается только при отсутствии конфликта интересов и права одного субъекта контролировать вход, содержание, данные и итог одновременно.</w:t>
      </w:r>
    </w:p>
    <w:p>
      <w:pPr>
        <w:pStyle w:val="Heading2"/>
        <w:keepNext/>
        <w:widowControl/>
      </w:pPr>
      <w:r>
        <w:t>6. Непереходимые пределы</w:t>
      </w:r>
    </w:p>
    <w:p>
      <w:pPr>
        <w:widowControl/>
        <w:spacing w:after="80" w:line="269" w:lineRule="auto"/>
      </w:pPr>
      <w:r>
        <w:rPr>
          <w:rFonts w:ascii="Carlito" w:hAnsi="Carlito"/>
          <w:i w:val="0"/>
          <w:sz w:val="21"/>
        </w:rPr>
        <w:t>Ни универсальная Доктрина, ни национальная адаптация не вправе:</w:t>
      </w:r>
    </w:p>
    <w:p>
      <w:pPr>
        <w:pStyle w:val="ListBullet"/>
        <w:widowControl/>
        <w:spacing w:after="50" w:line="259" w:lineRule="auto"/>
        <w:ind w:left="312" w:hanging="142"/>
      </w:pPr>
      <w:r>
        <w:rPr>
          <w:rFonts w:ascii="Carlito" w:hAnsi="Carlito"/>
          <w:sz w:val="20"/>
        </w:rPr>
        <w:t>подменять Конституцию, парламент, суд или обычный бюджетный процесс;</w:t>
      </w:r>
    </w:p>
    <w:p>
      <w:pPr>
        <w:pStyle w:val="ListBullet"/>
        <w:widowControl/>
        <w:spacing w:after="50" w:line="259" w:lineRule="auto"/>
        <w:ind w:left="312" w:hanging="142"/>
      </w:pPr>
      <w:r>
        <w:rPr>
          <w:rFonts w:ascii="Carlito" w:hAnsi="Carlito"/>
          <w:sz w:val="20"/>
        </w:rPr>
        <w:t>расширять полномочия избранного лица за счёт полномочий другого органа;</w:t>
      </w:r>
    </w:p>
    <w:p>
      <w:pPr>
        <w:pStyle w:val="ListBullet"/>
        <w:widowControl/>
        <w:spacing w:after="50" w:line="259" w:lineRule="auto"/>
        <w:ind w:left="312" w:hanging="142"/>
      </w:pPr>
      <w:r>
        <w:rPr>
          <w:rFonts w:ascii="Carlito" w:hAnsi="Carlito"/>
          <w:sz w:val="20"/>
        </w:rPr>
        <w:t>создавать прямой юридический эффект решением внутреннего классификатора;</w:t>
      </w:r>
    </w:p>
    <w:p>
      <w:pPr>
        <w:pStyle w:val="ListBullet"/>
        <w:widowControl/>
        <w:spacing w:after="50" w:line="259" w:lineRule="auto"/>
        <w:ind w:left="312" w:hanging="142"/>
      </w:pPr>
      <w:r>
        <w:rPr>
          <w:rFonts w:ascii="Carlito" w:hAnsi="Carlito"/>
          <w:sz w:val="20"/>
        </w:rPr>
        <w:t>объявлять поддержку доказательством единой общественной воли;</w:t>
      </w:r>
    </w:p>
    <w:p>
      <w:pPr>
        <w:pStyle w:val="ListBullet"/>
        <w:widowControl/>
        <w:spacing w:after="50" w:line="259" w:lineRule="auto"/>
        <w:ind w:left="312" w:hanging="142"/>
      </w:pPr>
      <w:r>
        <w:rPr>
          <w:rFonts w:ascii="Carlito" w:hAnsi="Carlito"/>
          <w:sz w:val="20"/>
        </w:rPr>
        <w:t>вынуждать депутата голосовать определённым образом;</w:t>
      </w:r>
    </w:p>
    <w:p>
      <w:pPr>
        <w:pStyle w:val="ListBullet"/>
        <w:widowControl/>
        <w:spacing w:after="50" w:line="259" w:lineRule="auto"/>
        <w:ind w:left="312" w:hanging="142"/>
      </w:pPr>
      <w:r>
        <w:rPr>
          <w:rFonts w:ascii="Carlito" w:hAnsi="Carlito"/>
          <w:sz w:val="20"/>
        </w:rPr>
        <w:t>передавать экспертам право окончательного политического отбора;</w:t>
      </w:r>
    </w:p>
    <w:p>
      <w:pPr>
        <w:pStyle w:val="ListBullet"/>
        <w:widowControl/>
        <w:spacing w:after="50" w:line="259" w:lineRule="auto"/>
        <w:ind w:left="312" w:hanging="142"/>
      </w:pPr>
      <w:r>
        <w:rPr>
          <w:rFonts w:ascii="Carlito" w:hAnsi="Carlito"/>
          <w:sz w:val="20"/>
        </w:rPr>
        <w:t>создавать государственный орган истины в сфере политических оценок и прогнозов;</w:t>
      </w:r>
    </w:p>
    <w:p>
      <w:pPr>
        <w:pStyle w:val="ListBullet"/>
        <w:widowControl/>
        <w:spacing w:after="50" w:line="259" w:lineRule="auto"/>
        <w:ind w:left="312" w:hanging="142"/>
      </w:pPr>
      <w:r>
        <w:rPr>
          <w:rFonts w:ascii="Carlito" w:hAnsi="Carlito"/>
          <w:sz w:val="20"/>
        </w:rPr>
        <w:t>делать цифровой канал единственным способом участия;</w:t>
      </w:r>
    </w:p>
    <w:p>
      <w:pPr>
        <w:pStyle w:val="ListBullet"/>
        <w:widowControl/>
        <w:spacing w:after="50" w:line="259" w:lineRule="auto"/>
        <w:ind w:left="312" w:hanging="142"/>
      </w:pPr>
      <w:r>
        <w:rPr>
          <w:rFonts w:ascii="Carlito" w:hAnsi="Carlito"/>
          <w:sz w:val="20"/>
        </w:rPr>
        <w:t>использовать прозрачность как основание раскрытия рядовых политических предпочтений;</w:t>
      </w:r>
    </w:p>
    <w:p>
      <w:pPr>
        <w:pStyle w:val="ListBullet"/>
        <w:widowControl/>
        <w:spacing w:after="50" w:line="259" w:lineRule="auto"/>
        <w:ind w:left="312" w:hanging="142"/>
      </w:pPr>
      <w:r>
        <w:rPr>
          <w:rFonts w:ascii="Carlito" w:hAnsi="Carlito"/>
          <w:sz w:val="20"/>
        </w:rPr>
        <w:t>вводить специальные санкции или дисквалификацию за недостижение политического результата;</w:t>
      </w:r>
    </w:p>
    <w:p>
      <w:pPr>
        <w:pStyle w:val="ListBullet"/>
        <w:widowControl/>
        <w:spacing w:after="50" w:line="259" w:lineRule="auto"/>
        <w:ind w:left="312" w:hanging="142"/>
      </w:pPr>
      <w:r>
        <w:rPr>
          <w:rFonts w:ascii="Carlito" w:hAnsi="Carlito"/>
          <w:sz w:val="20"/>
        </w:rPr>
        <w:t>перекладывать нефинансируемые обязанности на регионы и муниципалитеты;</w:t>
      </w:r>
    </w:p>
    <w:p>
      <w:pPr>
        <w:pStyle w:val="ListBullet"/>
        <w:widowControl/>
        <w:spacing w:after="50" w:line="259" w:lineRule="auto"/>
        <w:ind w:left="312" w:hanging="142"/>
      </w:pPr>
      <w:r>
        <w:rPr>
          <w:rFonts w:ascii="Carlito" w:hAnsi="Carlito"/>
          <w:sz w:val="20"/>
        </w:rPr>
        <w:t>сохранять пилот или орган без нового положительного решения после истечения срока.</w:t>
      </w:r>
    </w:p>
    <w:p>
      <w:pPr>
        <w:pStyle w:val="Heading2"/>
        <w:keepNext/>
        <w:widowControl/>
      </w:pPr>
      <w:r>
        <w:t>7. Показатели качества</w:t>
      </w:r>
    </w:p>
    <w:p>
      <w:pPr>
        <w:widowControl/>
        <w:spacing w:after="80" w:line="269" w:lineRule="auto"/>
      </w:pPr>
      <w:r>
        <w:rPr>
          <w:rFonts w:ascii="Carlito" w:hAnsi="Carlito"/>
          <w:i w:val="0"/>
          <w:sz w:val="21"/>
        </w:rPr>
        <w:t>Оценка Доктрины проводится не по одному итоговому баллу, а по отдельным группам критериев:</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4833"/>
        <w:gridCol w:w="4833"/>
      </w:tblGrid>
      <w:tr>
        <w:trPr>
          <w:tblHeader w:val="true"/>
          <w:cantSplit/>
          <w:tblHeader w:val="true"/>
        </w:trPr>
        <w:tc>
          <w:tcPr>
            <w:tcW w:type="dxa" w:w="144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Группа</w:t>
            </w:r>
          </w:p>
        </w:tc>
        <w:tc>
          <w:tcPr>
            <w:tcW w:type="dxa" w:w="4464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Примеры показателей</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Доступ и представительность</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Разрывы участия по территориям и группам; фактическая доступность; доля офлайн-участия; добровольность и безопасность.</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Качество инициатив</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Сохранение смысла; понятность; число обоснованных жалоб; доля инициатив с раскрытыми альтернативами и зависимостями.</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Качество выбора</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Понимание гражданами статуса процедуры; допустимая когнитивная нагрузка; самостоятельность вопросов; отсутствие скрытого интерфейсного подталкивания.</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Качество деклараций</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Полнота, своевременность, сопоставимость, доля объективных условий и содержательных альтернатив.</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Качество реализации</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Планы, собственные действия, исходные базы, открытые данные, журнал изменений, различение процессов и результатов.</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Права и безопасность</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Отсутствие политического профилирования; число инцидентов; независимость воспроизведения; безопасность офлайн-каналов.</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Институциональная цена</w:t>
            </w:r>
          </w:p>
        </w:tc>
        <w:tc>
          <w:tcPr>
            <w:tcW w:type="dxa" w:w="446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Стоимость на участника и пункт; число органов и стадий; сроки; нагрузка на суды; сравнение с альтернативой.</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Демократический эффект</w:t>
            </w:r>
          </w:p>
        </w:tc>
        <w:tc>
          <w:tcPr>
            <w:tcW w:type="dxa" w:w="446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Влияние на информированность без снижения доверия к выборам, парламенту, суду, регионам и меньшинствам.</w:t>
            </w:r>
          </w:p>
        </w:tc>
      </w:tr>
    </w:tbl>
    <w:p>
      <w:pPr>
        <w:widowControl/>
        <w:spacing w:after="80" w:line="269" w:lineRule="auto"/>
      </w:pPr>
      <w:r>
        <w:rPr>
          <w:rFonts w:ascii="Carlito" w:hAnsi="Carlito"/>
          <w:i w:val="0"/>
          <w:sz w:val="21"/>
        </w:rPr>
        <w:t>Методика и пороговые значения публикуются до пилота и не могут изменяться после получения первых результатов, кроме исправления доказанной технической ошибки с сохранением обеих версий.</w:t>
      </w:r>
    </w:p>
    <w:p>
      <w:pPr>
        <w:pStyle w:val="Heading2"/>
        <w:keepNext/>
        <w:widowControl/>
      </w:pPr>
      <w:r>
        <w:t>8. Универсальная модель и национальная адаптация</w:t>
      </w:r>
    </w:p>
    <w:p>
      <w:pPr>
        <w:widowControl/>
        <w:spacing w:after="80" w:line="269" w:lineRule="auto"/>
      </w:pPr>
      <w:r>
        <w:rPr>
          <w:rFonts w:ascii="Carlito" w:hAnsi="Carlito"/>
          <w:i w:val="0"/>
          <w:sz w:val="21"/>
        </w:rPr>
        <w:t>Универсальная Доктрина устанавливает неизменяемое концептуальное ядро и функциональные требования. Национальная адаптация определяет конкретные органы, сроки, пороги, правовые последствия и форму участия кандидатов с учётом конституционного строя страны.</w:t>
      </w:r>
    </w:p>
    <w:p>
      <w:pPr>
        <w:widowControl/>
        <w:spacing w:after="80" w:line="269" w:lineRule="auto"/>
      </w:pPr>
      <w:r>
        <w:rPr>
          <w:rFonts w:ascii="Carlito" w:hAnsi="Carlito"/>
          <w:i w:val="0"/>
          <w:sz w:val="21"/>
        </w:rPr>
        <w:t>Национальная адаптация обязана отдельно показать:</w:t>
      </w:r>
    </w:p>
    <w:p>
      <w:pPr>
        <w:pStyle w:val="ListBullet"/>
        <w:widowControl/>
        <w:spacing w:after="50" w:line="259" w:lineRule="auto"/>
        <w:ind w:left="312" w:hanging="142"/>
      </w:pPr>
      <w:r>
        <w:rPr>
          <w:rFonts w:ascii="Carlito" w:hAnsi="Carlito"/>
          <w:sz w:val="20"/>
        </w:rPr>
        <w:t>какой орган и на каком основании выполняет каждую функцию;</w:t>
      </w:r>
    </w:p>
    <w:p>
      <w:pPr>
        <w:pStyle w:val="ListBullet"/>
        <w:widowControl/>
        <w:spacing w:after="50" w:line="259" w:lineRule="auto"/>
        <w:ind w:left="312" w:hanging="142"/>
      </w:pPr>
      <w:r>
        <w:rPr>
          <w:rFonts w:ascii="Carlito" w:hAnsi="Carlito"/>
          <w:sz w:val="20"/>
        </w:rPr>
        <w:t>как защищается свободный мандат парламента;</w:t>
      </w:r>
    </w:p>
    <w:p>
      <w:pPr>
        <w:pStyle w:val="ListBullet"/>
        <w:widowControl/>
        <w:spacing w:after="50" w:line="259" w:lineRule="auto"/>
        <w:ind w:left="312" w:hanging="142"/>
      </w:pPr>
      <w:r>
        <w:rPr>
          <w:rFonts w:ascii="Carlito" w:hAnsi="Carlito"/>
          <w:sz w:val="20"/>
        </w:rPr>
        <w:t>как разграничены национальный, региональный и муниципальный уровни;</w:t>
      </w:r>
    </w:p>
    <w:p>
      <w:pPr>
        <w:pStyle w:val="ListBullet"/>
        <w:widowControl/>
        <w:spacing w:after="50" w:line="259" w:lineRule="auto"/>
        <w:ind w:left="312" w:hanging="142"/>
      </w:pPr>
      <w:r>
        <w:rPr>
          <w:rFonts w:ascii="Carlito" w:hAnsi="Carlito"/>
          <w:sz w:val="20"/>
        </w:rPr>
        <w:t>какое правовое основание имеет минимальная доля принятия кандидатом;</w:t>
      </w:r>
    </w:p>
    <w:p>
      <w:pPr>
        <w:pStyle w:val="ListBullet"/>
        <w:widowControl/>
        <w:spacing w:after="50" w:line="259" w:lineRule="auto"/>
        <w:ind w:left="312" w:hanging="142"/>
      </w:pPr>
      <w:r>
        <w:rPr>
          <w:rFonts w:ascii="Carlito" w:hAnsi="Carlito"/>
          <w:sz w:val="20"/>
        </w:rPr>
        <w:t>какие обязанности являются судебно проверяемыми;</w:t>
      </w:r>
    </w:p>
    <w:p>
      <w:pPr>
        <w:pStyle w:val="ListBullet"/>
        <w:widowControl/>
        <w:spacing w:after="50" w:line="259" w:lineRule="auto"/>
        <w:ind w:left="312" w:hanging="142"/>
      </w:pPr>
      <w:r>
        <w:rPr>
          <w:rFonts w:ascii="Carlito" w:hAnsi="Carlito"/>
          <w:sz w:val="20"/>
        </w:rPr>
        <w:t>как принимаются бюджетные и материальные правовые решения;</w:t>
      </w:r>
    </w:p>
    <w:p>
      <w:pPr>
        <w:pStyle w:val="ListBullet"/>
        <w:widowControl/>
        <w:spacing w:after="50" w:line="259" w:lineRule="auto"/>
        <w:ind w:left="312" w:hanging="142"/>
      </w:pPr>
      <w:r>
        <w:rPr>
          <w:rFonts w:ascii="Carlito" w:hAnsi="Carlito"/>
          <w:sz w:val="20"/>
        </w:rPr>
        <w:t>какие элементы внедряются только после пилота;</w:t>
      </w:r>
    </w:p>
    <w:p>
      <w:pPr>
        <w:pStyle w:val="ListBullet"/>
        <w:widowControl/>
        <w:spacing w:after="50" w:line="259" w:lineRule="auto"/>
        <w:ind w:left="312" w:hanging="142"/>
      </w:pPr>
      <w:r>
        <w:rPr>
          <w:rFonts w:ascii="Carlito" w:hAnsi="Carlito"/>
          <w:sz w:val="20"/>
        </w:rPr>
        <w:t>какие отклонения от универсальной модели внесены и почему они не меняют ядро.</w:t>
      </w:r>
    </w:p>
    <w:p>
      <w:pPr>
        <w:widowControl/>
        <w:spacing w:after="80" w:line="269" w:lineRule="auto"/>
      </w:pPr>
      <w:r>
        <w:rPr>
          <w:rFonts w:ascii="Carlito" w:hAnsi="Carlito"/>
          <w:i w:val="0"/>
          <w:sz w:val="21"/>
        </w:rPr>
        <w:t>Одна и та же институциональная форма не обязана применяться в президентской, парламентской и смешанной системах. Универсальность означает функциональную сопоставимость, а не механическое единообразие органов.</w:t>
      </w:r>
    </w:p>
    <w:p>
      <w:pPr>
        <w:pStyle w:val="Heading3"/>
        <w:keepNext/>
        <w:widowControl/>
      </w:pPr>
      <w:r>
        <w:t>8.1. Национальные параметры и запрет ситуационной перенастройки</w:t>
      </w:r>
    </w:p>
    <w:p>
      <w:pPr>
        <w:widowControl/>
      </w:pPr>
      <w:r>
        <w:t>Пороги поддержки и информированной явки, доли каналов, число вопросов, сроки, бюджетные пределы и иные национальные параметры устанавливаются до начала цикла по обязательному протоколу: моделирование нескольких вариантов, публикация исходных данных, независимая оценка распределительных эффектов и проверка на неравенство участия.</w:t>
      </w:r>
    </w:p>
    <w:p>
      <w:pPr>
        <w:widowControl/>
      </w:pPr>
      <w:r>
        <w:t>Фундаментальные параметры замораживаются не менее чем на один полный цикл и не могут изменяться вблизи выборов либо после появления сведений о вероятном политическом результате. Любое усиленное электоральное последствие кандидатской декларации требует отдельного национального конституционного основания и не выводится из универсальной Доктрины.</w:t>
      </w:r>
    </w:p>
    <w:p>
      <w:pPr>
        <w:widowControl/>
      </w:pPr>
      <w:r>
        <w:t>Национальная адаптация обязана публиковать коллизионную матрицу одновременных национальных, региональных и муниципальных циклов, правила приоритета компетентного уровня и порядок совместного пункта при разделённой компетенции.</w:t>
      </w:r>
    </w:p>
    <w:p>
      <w:pPr>
        <w:pStyle w:val="Heading2"/>
        <w:keepNext/>
        <w:widowControl/>
      </w:pPr>
      <w:r>
        <w:t>9. Стадии внедрения и ворота перехода</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44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Стадия</w:t>
            </w:r>
          </w:p>
        </w:tc>
        <w:tc>
          <w:tcPr>
            <w:tcW w:type="dxa" w:w="259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Допустимый эффект</w:t>
            </w:r>
          </w:p>
        </w:tc>
        <w:tc>
          <w:tcPr>
            <w:tcW w:type="dxa" w:w="187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Условие перехода</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Симуляция</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Тест понятий, интерфейсов, экспертных материалов и угроз без политических последствий.</w:t>
            </w:r>
          </w:p>
        </w:tc>
        <w:tc>
          <w:tcPr>
            <w:tcW w:type="dxa" w:w="187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Понимание статусов и отсутствие критических дефектов.</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Муниципальный исследовательский пилот</w:t>
            </w:r>
          </w:p>
        </w:tc>
        <w:tc>
          <w:tcPr>
            <w:tcW w:type="dxa" w:w="259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Добровольные декларации, открытые данные, отсутствие юридического связывания.</w:t>
            </w:r>
          </w:p>
        </w:tc>
        <w:tc>
          <w:tcPr>
            <w:tcW w:type="dxa" w:w="187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Независимая оценка преимуществ и доступности.</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Региональный переходный пилот</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Обязательная публикация и процедурные обязанности; без материального прямого эффекта.</w:t>
            </w:r>
          </w:p>
        </w:tc>
        <w:tc>
          <w:tcPr>
            <w:tcW w:type="dxa" w:w="187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Не менее двух воспроизводимых циклов и контрольная территория.</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Национальный переходный цикл</w:t>
            </w:r>
          </w:p>
        </w:tc>
        <w:tc>
          <w:tcPr>
            <w:tcW w:type="dxa" w:w="259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Полный публичный след и переходный режим кандидатов.</w:t>
            </w:r>
          </w:p>
        </w:tc>
        <w:tc>
          <w:tcPr>
            <w:tcW w:type="dxa" w:w="187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Конституционный, бюджетный, цифровой и правозащитный аудит.</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Полная национальная модель</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Минимальная доля принятия и иные полные эффекты только в установленном правопорядке.</w:t>
            </w:r>
          </w:p>
        </w:tc>
        <w:tc>
          <w:tcPr>
            <w:tcW w:type="dxa" w:w="187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Прямое национальное правовое основание и подтверждённая эффективность.</w:t>
            </w:r>
          </w:p>
        </w:tc>
      </w:tr>
    </w:tbl>
    <w:p>
      <w:pPr>
        <w:pStyle w:val="Heading2"/>
        <w:keepNext/>
        <w:widowControl/>
      </w:pPr>
      <w:r>
        <w:t>10. Специальные и чрезвычайные случаи</w:t>
      </w:r>
    </w:p>
    <w:p>
      <w:pPr>
        <w:widowControl/>
      </w:pPr>
      <w:r>
        <w:t>Все чрезвычайные решения в рамках Доктрины включаются в единый публичный чрезвычайный реестр. Реестр связывает фактическое событие, применённые юридические основания, затронутые функции, сроки, органы, объём ограничений, продления и меры восстановления.</w:t>
      </w:r>
    </w:p>
    <w:p>
      <w:pPr>
        <w:widowControl/>
      </w:pPr>
      <w:r>
        <w:t>Для одного фактического события действует общий кумулятивный срок независимо от смены названия основания, органа или правового режима. Любое продление требует независимой проверки эквивалентности оснований и доказательства невозможности менее ограничительной меры.</w:t>
      </w:r>
    </w:p>
    <w:p>
      <w:pPr>
        <w:widowControl/>
      </w:pPr>
      <w:r>
        <w:t>Во время чрезвычайного режима абсолютно запрещается изменять правила кандидатов, пороги легитимности, состав уже утверждённого поручения и объём данных, позволяющих связывать личность с политическим действием. По окончании режима проводится независимый аудит, а временно созданные связи и массивы данных уничтожаются доказуемым способом.</w:t>
      </w:r>
    </w:p>
    <w:p>
      <w:pPr>
        <w:pStyle w:val="Heading2"/>
        <w:keepNext/>
        <w:widowControl/>
      </w:pPr>
      <w:r>
        <w:t>11. Контроль, обжалование и ответственность</w:t>
      </w:r>
    </w:p>
    <w:p>
      <w:pPr>
        <w:widowControl/>
        <w:spacing w:after="80" w:line="269" w:lineRule="auto"/>
      </w:pPr>
      <w:r>
        <w:rPr>
          <w:rFonts w:ascii="Carlito" w:hAnsi="Carlito"/>
          <w:i w:val="0"/>
          <w:sz w:val="21"/>
        </w:rPr>
        <w:t>Каждый этап имеет одного названного владельца процесса и самостоятельный внешний контроль. Молчание по истечении срока является процедурным нарушением, если закон не устанавливает безопасное автоматическое продолжение без ухудшения положения гражданина.</w:t>
      </w:r>
    </w:p>
    <w:p>
      <w:pPr>
        <w:widowControl/>
        <w:spacing w:after="80" w:line="269" w:lineRule="auto"/>
      </w:pPr>
      <w:r>
        <w:rPr>
          <w:rFonts w:ascii="Carlito" w:hAnsi="Carlito"/>
          <w:i w:val="0"/>
          <w:sz w:val="21"/>
        </w:rPr>
        <w:t>Обжалование концентрируется в понятных окнах: до общественного выбора разрешаются споры о тексте, объединении, допустимости и материалах; после выбора — споры о целостности результата; после выборов — споры о точных обязанностях плана, данных и собственных действий. Повторное оспаривание уже разрешённого основания не приостанавливает цикл без новых существенных фактов.</w:t>
      </w:r>
    </w:p>
    <w:p>
      <w:pPr>
        <w:widowControl/>
        <w:spacing w:after="80" w:line="269" w:lineRule="auto"/>
      </w:pPr>
      <w:r>
        <w:rPr>
          <w:rFonts w:ascii="Carlito" w:hAnsi="Carlito"/>
          <w:i w:val="0"/>
          <w:sz w:val="21"/>
        </w:rPr>
        <w:t>Должностные лица и подрядчики отвечают за собственные решения, бездействие, фальсификацию, конфликт интересов и нарушение данных. Коллективность управления не используется для растворения ответственности, но и не позволяет назначать фиктивного владельца результата без полномочий и ресурсов.</w:t>
      </w:r>
    </w:p>
    <w:p>
      <w:pPr>
        <w:pStyle w:val="Heading2"/>
        <w:keepNext/>
        <w:widowControl/>
      </w:pPr>
      <w:r>
        <w:t>12. Наиболее сильные возражения и встроенные ответы</w:t>
      </w:r>
    </w:p>
    <w:p>
      <w:pPr>
        <w:pStyle w:val="Heading3"/>
        <w:keepNext/>
        <w:widowControl/>
      </w:pPr>
      <w:r>
        <w:t>12.1. «Полный цикл чрезмерно сложен»</w:t>
      </w:r>
    </w:p>
    <w:p>
      <w:pPr>
        <w:widowControl/>
        <w:spacing w:after="60" w:line="269" w:lineRule="auto"/>
      </w:pPr>
      <w:r>
        <w:rPr>
          <w:rFonts w:ascii="Carlito" w:hAnsi="Carlito"/>
          <w:i/>
          <w:sz w:val="21"/>
        </w:rPr>
        <w:t>Последовательность стадий, органов и жалоб способна остановить весь процесс.</w:t>
      </w:r>
    </w:p>
    <w:p>
      <w:pPr>
        <w:widowControl/>
        <w:spacing w:after="100" w:line="264" w:lineRule="auto"/>
      </w:pPr>
      <w:r>
        <w:rPr>
          <w:rFonts w:ascii="Carlito" w:hAnsi="Carlito"/>
          <w:b/>
          <w:color w:val="1A3754"/>
          <w:sz w:val="21"/>
        </w:rPr>
        <w:t xml:space="preserve">Встроенный ответ. </w:t>
      </w:r>
      <w:r>
        <w:rPr>
          <w:rFonts w:ascii="Carlito" w:hAnsi="Carlito"/>
          <w:sz w:val="21"/>
        </w:rPr>
        <w:t>Доктрина вводит функциональную минимизацию: один владелец процесса, использование существующих институтов, объединённые окна обжалования, пропорциональную глубину экспертизы, лимит тем и обязательный тест стоимости. Стадия, не создающая доказанной ценности, подлежит исключению.</w:t>
      </w:r>
    </w:p>
    <w:p>
      <w:pPr>
        <w:pStyle w:val="Heading3"/>
        <w:keepNext/>
        <w:widowControl/>
      </w:pPr>
      <w:r>
        <w:t>12.2. «Пределы останутся декларацией»</w:t>
      </w:r>
    </w:p>
    <w:p>
      <w:pPr>
        <w:widowControl/>
        <w:spacing w:after="60" w:line="269" w:lineRule="auto"/>
      </w:pPr>
      <w:r>
        <w:rPr>
          <w:rFonts w:ascii="Carlito" w:hAnsi="Carlito"/>
          <w:i/>
          <w:sz w:val="21"/>
        </w:rPr>
        <w:t>Специальные главы могут незаметно отменить общие принципы.</w:t>
      </w:r>
    </w:p>
    <w:p>
      <w:pPr>
        <w:widowControl/>
        <w:spacing w:after="100" w:line="264" w:lineRule="auto"/>
      </w:pPr>
      <w:r>
        <w:rPr>
          <w:rFonts w:ascii="Carlito" w:hAnsi="Carlito"/>
          <w:b/>
          <w:color w:val="1A3754"/>
          <w:sz w:val="21"/>
        </w:rPr>
        <w:t xml:space="preserve">Встроенный ответ. </w:t>
      </w:r>
      <w:r>
        <w:rPr>
          <w:rFonts w:ascii="Carlito" w:hAnsi="Carlito"/>
          <w:sz w:val="21"/>
        </w:rPr>
        <w:t>Настоящая глава обладает надглавным статусом внутри Доктрины: противоречащая ей специальная норма не применяется. Сквозной аудит обязан выявлять и устранять такое противоречие до утверждения версии.</w:t>
      </w:r>
    </w:p>
    <w:p>
      <w:pPr>
        <w:pStyle w:val="Heading3"/>
        <w:keepNext/>
        <w:widowControl/>
      </w:pPr>
      <w:r>
        <w:t>12.3. «Универсальный документ юридически пуст»</w:t>
      </w:r>
    </w:p>
    <w:p>
      <w:pPr>
        <w:widowControl/>
        <w:spacing w:after="60" w:line="269" w:lineRule="auto"/>
      </w:pPr>
      <w:r>
        <w:rPr>
          <w:rFonts w:ascii="Carlito" w:hAnsi="Carlito"/>
          <w:i/>
          <w:sz w:val="21"/>
        </w:rPr>
        <w:t>Без конкретной страны невозможно определить органы и санкции.</w:t>
      </w:r>
    </w:p>
    <w:p>
      <w:pPr>
        <w:widowControl/>
        <w:spacing w:after="100" w:line="264" w:lineRule="auto"/>
      </w:pPr>
      <w:r>
        <w:rPr>
          <w:rFonts w:ascii="Carlito" w:hAnsi="Carlito"/>
          <w:b/>
          <w:color w:val="1A3754"/>
          <w:sz w:val="21"/>
        </w:rPr>
        <w:t xml:space="preserve">Встроенный ответ. </w:t>
      </w:r>
      <w:r>
        <w:rPr>
          <w:rFonts w:ascii="Carlito" w:hAnsi="Carlito"/>
          <w:sz w:val="21"/>
        </w:rPr>
        <w:t>Универсальная Доктрина фиксирует функции, пределы и обязательное ядро; национальные приложения переводят их в конкретный правопорядок. Такая модульность предотвращает выдачу одной национальной конструкции за универсальную норму.</w:t>
      </w:r>
    </w:p>
    <w:p>
      <w:pPr>
        <w:pStyle w:val="Heading2"/>
        <w:keepNext/>
        <w:widowControl/>
      </w:pPr>
      <w:r>
        <w:t>13. Связь с другими главами</w:t>
      </w:r>
    </w:p>
    <w:p>
      <w:pPr>
        <w:widowControl/>
        <w:spacing w:after="80" w:line="269" w:lineRule="auto"/>
      </w:pPr>
      <w:r>
        <w:rPr>
          <w:rFonts w:ascii="Carlito" w:hAnsi="Carlito"/>
          <w:i w:val="0"/>
          <w:sz w:val="21"/>
        </w:rPr>
        <w:t>Принципы разрешения конфликтов закреплены в главе IV, правовая природа и обязательность — в главе V. Главы о ролях, институтах, отборе, голосовании, кандидатах, реализации, данных и пилотировании должны конкретизировать, но не расширять настоящие пределы.</w:t>
      </w:r>
    </w:p>
    <w:p>
      <w:pPr>
        <w:pStyle w:val="Heading2"/>
        <w:keepNext/>
        <w:widowControl/>
      </w:pPr>
      <w:r>
        <w:t>14. Вывод</w:t>
      </w:r>
    </w:p>
    <w:p>
      <w:pPr>
        <w:widowControl/>
        <w:spacing w:after="80" w:line="269" w:lineRule="auto"/>
      </w:pPr>
      <w:r>
        <w:rPr>
          <w:rFonts w:ascii="Carlito" w:hAnsi="Carlito"/>
          <w:i w:val="0"/>
          <w:sz w:val="21"/>
        </w:rPr>
        <w:t>Доктрина создаёт не параллельное государство, а ограниченный публичный цикл постановки целей и подотчётности. Её допустимость зависит от сохранения конституционных компетенций, реального гражданского происхождения, прав меньшинств, политической приватности, административной экономичности и права прекратить неработающую модель.</w:t>
      </w:r>
    </w:p>
    <w:p>
      <w:pPr>
        <w:widowControl/>
      </w:pPr>
      <w:r>
        <w:br w:type="page"/>
      </w:r>
    </w:p>
    <w:p>
      <w:pPr>
        <w:pStyle w:val="Heading1"/>
        <w:keepNext/>
        <w:pageBreakBefore/>
        <w:spacing w:before="0" w:after="160"/>
        <w:widowControl/>
        <w:pBdr>
          <w:bottom w:val="single" w:sz="5" w:space="4" w:color="B4C6E7"/>
        </w:pBdr>
      </w:pPr>
      <w:r>
        <w:t>Глава IV. Основные принципы Доктрины</w:t>
      </w:r>
    </w:p>
    <w:p>
      <w:pPr>
        <w:pStyle w:val="Heading2"/>
        <w:keepNext/>
        <w:widowControl/>
      </w:pPr>
      <w:r>
        <w:t>1. Предмет и цель главы</w:t>
      </w:r>
    </w:p>
    <w:p>
      <w:pPr>
        <w:widowControl/>
        <w:spacing w:after="80" w:line="269" w:lineRule="auto"/>
      </w:pPr>
      <w:r>
        <w:rPr>
          <w:rFonts w:ascii="Carlito" w:hAnsi="Carlito"/>
          <w:i w:val="0"/>
          <w:sz w:val="21"/>
        </w:rPr>
        <w:t>Настоящая глава устанавливает иерархию принципов и правила разрешения их конфликтов. Принципы не являются плоским перечнем равноценных пожеланий: нижестоящий принцип не может оправдывать нарушение вышестоящего, а ссылка на удобство, эффективность или популярность не заменяет проверку прав, компетенции и соразмерности.</w:t>
      </w:r>
    </w:p>
    <w:p>
      <w:pPr>
        <w:pStyle w:val="Heading2"/>
        <w:keepNext/>
        <w:widowControl/>
      </w:pPr>
      <w:r>
        <w:t>2. Иерархия принципов</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296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Уровень</w:t>
            </w:r>
          </w:p>
        </w:tc>
        <w:tc>
          <w:tcPr>
            <w:tcW w:type="dxa" w:w="2628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Содержание</w:t>
            </w:r>
          </w:p>
        </w:tc>
        <w:tc>
          <w:tcPr>
            <w:tcW w:type="dxa" w:w="198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Последствие конфликта</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I. Конституционный предел</w:t>
            </w:r>
          </w:p>
        </w:tc>
        <w:tc>
          <w:tcPr>
            <w:tcW w:type="dxa" w:w="262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Законность, основные права, равенство политических прав, периодические свободные выборы, разделение властей, независимость суда, тайна политического участия.</w:t>
            </w:r>
          </w:p>
        </w:tc>
        <w:tc>
          <w:tcPr>
            <w:tcW w:type="dxa" w:w="198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Имеет безусловный приоритет внутри Доктрины.</w:t>
            </w:r>
          </w:p>
        </w:tc>
      </w:tr>
      <w:tr>
        <w:trPr>
          <w:cantSplit/>
          <w:cantSplit/>
        </w:trPr>
        <w:tc>
          <w:tcPr>
            <w:tcW w:type="dxa" w:w="12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II. Концептуальное ядро</w:t>
            </w:r>
          </w:p>
        </w:tc>
        <w:tc>
          <w:tcPr>
            <w:tcW w:type="dxa" w:w="262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Общественное происхождение поручения; движение снизу вверх; обязательное отношение кандидатов; ограниченный предел отказа; публичная оценка; эволюционность.</w:t>
            </w:r>
          </w:p>
        </w:tc>
        <w:tc>
          <w:tcPr>
            <w:tcW w:type="dxa" w:w="198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Не может быть отменено организационным удобством или национальной адаптацией.</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III. Компетенция и ответственность</w:t>
            </w:r>
          </w:p>
        </w:tc>
        <w:tc>
          <w:tcPr>
            <w:tcW w:type="dxa" w:w="262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Нерасширение полномочий; свободный мандат; бюджетный порядок; федерализм; ответственность только за контролируемые действия.</w:t>
            </w:r>
          </w:p>
        </w:tc>
        <w:tc>
          <w:tcPr>
            <w:tcW w:type="dxa" w:w="198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Политическое обязательство не преодолевает конституционную компетенцию.</w:t>
            </w:r>
          </w:p>
        </w:tc>
      </w:tr>
      <w:tr>
        <w:trPr>
          <w:cantSplit/>
          <w:cantSplit/>
        </w:trPr>
        <w:tc>
          <w:tcPr>
            <w:tcW w:type="dxa" w:w="12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IV. Процедурные гарантии</w:t>
            </w:r>
          </w:p>
        </w:tc>
        <w:tc>
          <w:tcPr>
            <w:tcW w:type="dxa" w:w="262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Открытость решений, сохранение смысла, равный доступ, состязательная экспертиза, мотивировка, контроль, обжалование, журнал версий.</w:t>
            </w:r>
          </w:p>
        </w:tc>
        <w:tc>
          <w:tcPr>
            <w:tcW w:type="dxa" w:w="198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Ограничение допускается только по закону, необходимости и соразмерности.</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V. Организационные параметры</w:t>
            </w:r>
          </w:p>
        </w:tc>
        <w:tc>
          <w:tcPr>
            <w:tcW w:type="dxa" w:w="262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Число органов и пунктов, сроки, интерфейсы, технологии, формат панелей и отчётов.</w:t>
            </w:r>
          </w:p>
        </w:tc>
        <w:tc>
          <w:tcPr>
            <w:tcW w:type="dxa" w:w="198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Изменяются при сохранении уровней I–IV.</w:t>
            </w:r>
          </w:p>
        </w:tc>
      </w:tr>
    </w:tbl>
    <w:p>
      <w:pPr>
        <w:widowControl/>
        <w:spacing w:after="80" w:line="269" w:lineRule="auto"/>
      </w:pPr>
      <w:r>
        <w:rPr>
          <w:rFonts w:ascii="Carlito" w:hAnsi="Carlito"/>
          <w:i w:val="0"/>
          <w:sz w:val="21"/>
        </w:rPr>
        <w:t>Если два принципа одного уровня конфликтуют, применяется тест соразмерности: законная цель, пригодность меры, отсутствие менее ограничительной альтернативы, разумный баланс вреда и пользы, ограниченность срока и возможность пересмотра.</w:t>
      </w:r>
    </w:p>
    <w:p>
      <w:pPr>
        <w:pStyle w:val="Heading2"/>
        <w:keepNext/>
        <w:widowControl/>
      </w:pPr>
      <w:r>
        <w:t>3. Принцип законности и приоритета прав</w:t>
      </w:r>
    </w:p>
    <w:p>
      <w:pPr>
        <w:widowControl/>
        <w:spacing w:after="80" w:line="269" w:lineRule="auto"/>
      </w:pPr>
      <w:r>
        <w:rPr>
          <w:rFonts w:ascii="Carlito" w:hAnsi="Carlito"/>
          <w:i w:val="0"/>
          <w:sz w:val="21"/>
        </w:rPr>
        <w:t>Любой этап Доктрины осуществляется на основании опубликованной нормы, принятой до соответствующего цикла. Основные права не выставляются на упрощённое голосование и не могут быть ограничены ссылкой на общественную поддержку.</w:t>
      </w:r>
    </w:p>
    <w:p>
      <w:pPr>
        <w:widowControl/>
        <w:spacing w:after="80" w:line="269" w:lineRule="auto"/>
      </w:pPr>
      <w:r>
        <w:rPr>
          <w:rFonts w:ascii="Carlito" w:hAnsi="Carlito"/>
          <w:i w:val="0"/>
          <w:sz w:val="21"/>
        </w:rPr>
        <w:t>Запрещается:</w:t>
      </w:r>
    </w:p>
    <w:p>
      <w:pPr>
        <w:pStyle w:val="ListBullet"/>
        <w:widowControl/>
        <w:spacing w:after="50" w:line="259" w:lineRule="auto"/>
        <w:ind w:left="312" w:hanging="142"/>
      </w:pPr>
      <w:r>
        <w:rPr>
          <w:rFonts w:ascii="Carlito" w:hAnsi="Carlito"/>
          <w:sz w:val="20"/>
        </w:rPr>
        <w:t>обходить установленную процедуру конституционной поправки или референдума;</w:t>
      </w:r>
    </w:p>
    <w:p>
      <w:pPr>
        <w:pStyle w:val="ListBullet"/>
        <w:widowControl/>
        <w:spacing w:after="50" w:line="259" w:lineRule="auto"/>
        <w:ind w:left="312" w:hanging="142"/>
      </w:pPr>
      <w:r>
        <w:rPr>
          <w:rFonts w:ascii="Carlito" w:hAnsi="Carlito"/>
          <w:sz w:val="20"/>
        </w:rPr>
        <w:t>выносить решение о виновности, наказании или лишении прав конкретного лица;</w:t>
      </w:r>
    </w:p>
    <w:p>
      <w:pPr>
        <w:pStyle w:val="ListBullet"/>
        <w:widowControl/>
        <w:spacing w:after="50" w:line="259" w:lineRule="auto"/>
        <w:ind w:left="312" w:hanging="142"/>
      </w:pPr>
      <w:r>
        <w:rPr>
          <w:rFonts w:ascii="Carlito" w:hAnsi="Carlito"/>
          <w:sz w:val="20"/>
        </w:rPr>
        <w:t>подчинять суд, избирательный орган, прессу или политическую оппозицию текущему большинству;</w:t>
      </w:r>
    </w:p>
    <w:p>
      <w:pPr>
        <w:pStyle w:val="ListBullet"/>
        <w:widowControl/>
        <w:spacing w:after="50" w:line="259" w:lineRule="auto"/>
        <w:ind w:left="312" w:hanging="142"/>
      </w:pPr>
      <w:r>
        <w:rPr>
          <w:rFonts w:ascii="Carlito" w:hAnsi="Carlito"/>
          <w:sz w:val="20"/>
        </w:rPr>
        <w:t>придавать обратную силу неблагоприятному правилу;</w:t>
      </w:r>
    </w:p>
    <w:p>
      <w:pPr>
        <w:pStyle w:val="ListBullet"/>
        <w:widowControl/>
        <w:spacing w:after="50" w:line="259" w:lineRule="auto"/>
        <w:ind w:left="312" w:hanging="142"/>
      </w:pPr>
      <w:r>
        <w:rPr>
          <w:rFonts w:ascii="Carlito" w:hAnsi="Carlito"/>
          <w:sz w:val="20"/>
        </w:rPr>
        <w:t>использовать понятия безопасности, достоинства или демократического порядка без связи с конкретной нормой и проверкой соразмерности.</w:t>
      </w:r>
    </w:p>
    <w:p>
      <w:pPr>
        <w:pStyle w:val="DoctrineQuote"/>
        <w:keepLines/>
        <w:widowControl/>
        <w:spacing w:before="80" w:after="140"/>
        <w:ind w:left="369" w:right="198"/>
      </w:pPr>
      <w:r>
        <w:rPr>
          <w:rFonts w:ascii="Carlito" w:hAnsi="Carlito"/>
          <w:sz w:val="21"/>
        </w:rPr>
        <w:t>Проверочный вопрос: возможно ли применить меру к политическому противнику тем же способом, не разрушив права и конституционный порядок?</w:t>
      </w:r>
    </w:p>
    <w:p>
      <w:pPr>
        <w:pStyle w:val="Heading2"/>
        <w:keepNext/>
        <w:widowControl/>
      </w:pPr>
      <w:r>
        <w:t>4. Принцип гражданского происхождения и автономии повестки</w:t>
      </w:r>
    </w:p>
    <w:p>
      <w:pPr>
        <w:widowControl/>
        <w:spacing w:after="80" w:line="269" w:lineRule="auto"/>
      </w:pPr>
      <w:r>
        <w:rPr>
          <w:rFonts w:ascii="Carlito" w:hAnsi="Carlito"/>
          <w:i w:val="0"/>
          <w:sz w:val="21"/>
        </w:rPr>
        <w:t>Состав общественного поручения должен происходить из гражданских инициатив и открытой общественной процедуры. Государственные органы, партии, кандидаты, корпорации и общественные организации вправе участвовать в публичной дискуссии на равных основаниях, но не получают скрытого или привилегированного права формировать перечень.</w:t>
      </w:r>
    </w:p>
    <w:p>
      <w:pPr>
        <w:widowControl/>
        <w:spacing w:after="80" w:line="269" w:lineRule="auto"/>
      </w:pPr>
      <w:r>
        <w:rPr>
          <w:rFonts w:ascii="Carlito" w:hAnsi="Carlito"/>
          <w:i w:val="0"/>
          <w:sz w:val="21"/>
        </w:rPr>
        <w:t>Запрещается:</w:t>
      </w:r>
    </w:p>
    <w:p>
      <w:pPr>
        <w:pStyle w:val="ListBullet"/>
        <w:widowControl/>
        <w:spacing w:after="50" w:line="259" w:lineRule="auto"/>
        <w:ind w:left="312" w:hanging="142"/>
      </w:pPr>
      <w:r>
        <w:rPr>
          <w:rFonts w:ascii="Carlito" w:hAnsi="Carlito"/>
          <w:sz w:val="20"/>
        </w:rPr>
        <w:t>создавать формально гражданскую инициативу без раскрытия профессионального заказчика и крупного финансирования;</w:t>
      </w:r>
    </w:p>
    <w:p>
      <w:pPr>
        <w:pStyle w:val="ListBullet"/>
        <w:widowControl/>
        <w:spacing w:after="50" w:line="259" w:lineRule="auto"/>
        <w:ind w:left="312" w:hanging="142"/>
      </w:pPr>
      <w:r>
        <w:rPr>
          <w:rFonts w:ascii="Carlito" w:hAnsi="Carlito"/>
          <w:sz w:val="20"/>
        </w:rPr>
        <w:t>предоставлять инициативе власти ускоренный или закрытый путь;</w:t>
      </w:r>
    </w:p>
    <w:p>
      <w:pPr>
        <w:pStyle w:val="ListBullet"/>
        <w:widowControl/>
        <w:spacing w:after="50" w:line="259" w:lineRule="auto"/>
        <w:ind w:left="312" w:hanging="142"/>
      </w:pPr>
      <w:r>
        <w:rPr>
          <w:rFonts w:ascii="Carlito" w:hAnsi="Carlito"/>
          <w:sz w:val="20"/>
        </w:rPr>
        <w:t>исключать неудобную инициативу по мотивам стоимости, неуместности или политической радикальности, если она правомерна;</w:t>
      </w:r>
    </w:p>
    <w:p>
      <w:pPr>
        <w:pStyle w:val="ListBullet"/>
        <w:widowControl/>
        <w:spacing w:after="50" w:line="259" w:lineRule="auto"/>
        <w:ind w:left="312" w:hanging="142"/>
      </w:pPr>
      <w:r>
        <w:rPr>
          <w:rFonts w:ascii="Carlito" w:hAnsi="Carlito"/>
          <w:sz w:val="20"/>
        </w:rPr>
        <w:t>подменять гражданскую формулировку экспертно удобным текстом без подтверждения.</w:t>
      </w:r>
    </w:p>
    <w:p>
      <w:pPr>
        <w:pStyle w:val="DoctrineQuote"/>
        <w:keepLines/>
        <w:widowControl/>
        <w:spacing w:before="80" w:after="140"/>
        <w:ind w:left="369" w:right="198"/>
      </w:pPr>
      <w:r>
        <w:rPr>
          <w:rFonts w:ascii="Carlito" w:hAnsi="Carlito"/>
          <w:sz w:val="21"/>
        </w:rPr>
        <w:t>Проверочный вопрос: сохранилась бы инициатива и её смысл, если бы она исходила не от влиятельного субъекта, а от небольшой независимой группы?</w:t>
      </w:r>
    </w:p>
    <w:p>
      <w:pPr>
        <w:pStyle w:val="Heading2"/>
        <w:keepNext/>
        <w:widowControl/>
      </w:pPr>
      <w:r>
        <w:t>5. Принцип плюрализма, несогласия и права не участвовать</w:t>
      </w:r>
    </w:p>
    <w:p>
      <w:pPr>
        <w:widowControl/>
        <w:spacing w:after="80" w:line="269" w:lineRule="auto"/>
      </w:pPr>
      <w:r>
        <w:rPr>
          <w:rFonts w:ascii="Carlito" w:hAnsi="Carlito"/>
          <w:i w:val="0"/>
          <w:sz w:val="21"/>
        </w:rPr>
        <w:t>Доктрина признаёт общество множеством равноправных субъектов, а не единой волей. Несогласие, воздержание, отказ кандидата в установленных пределах и неучастие гражданина не являются подозрительным поведением и не влекут неблагоприятного вывода.</w:t>
      </w:r>
    </w:p>
    <w:p>
      <w:pPr>
        <w:widowControl/>
        <w:spacing w:after="80" w:line="269" w:lineRule="auto"/>
      </w:pPr>
      <w:r>
        <w:rPr>
          <w:rFonts w:ascii="Carlito" w:hAnsi="Carlito"/>
          <w:i w:val="0"/>
          <w:sz w:val="21"/>
        </w:rPr>
        <w:t>Официальный результат обязан показывать структуру разногласий. Агитация за отказ от инициативы, бойкот или альтернативную повестку охраняется наравне с поддержкой, если не нарушает общие законы.</w:t>
      </w:r>
    </w:p>
    <w:p>
      <w:pPr>
        <w:pStyle w:val="DoctrineQuote"/>
        <w:keepLines/>
        <w:widowControl/>
        <w:spacing w:before="80" w:after="140"/>
        <w:ind w:left="369" w:right="198"/>
      </w:pPr>
      <w:r>
        <w:rPr>
          <w:rFonts w:ascii="Carlito" w:hAnsi="Carlito"/>
          <w:sz w:val="21"/>
        </w:rPr>
        <w:t>Проверочный вопрос: позволяет ли процедура увидеть и безопасно выразить несогласие, или официальный дизайн делает его менее легитимным?</w:t>
      </w:r>
    </w:p>
    <w:p>
      <w:pPr>
        <w:pStyle w:val="Heading2"/>
        <w:keepNext/>
        <w:widowControl/>
      </w:pPr>
      <w:r>
        <w:t>6. Принцип реальной обязательности без скрытой нормативности</w:t>
      </w:r>
    </w:p>
    <w:p>
      <w:pPr>
        <w:widowControl/>
        <w:spacing w:after="80" w:line="269" w:lineRule="auto"/>
      </w:pPr>
      <w:r>
        <w:rPr>
          <w:rFonts w:ascii="Carlito" w:hAnsi="Carlito"/>
          <w:i w:val="0"/>
          <w:sz w:val="21"/>
        </w:rPr>
        <w:t>Общественное поручение не может быть сведено к опросу, который власть вправе проигнорировать. Его утверждение запускает предусмотренные законом обязанности: публикацию мандата, декларации кандидатов, минимальную долю принятия в применимом режиме, реестр, план, собственные действия, данные, мотивировку и независимую оценку.</w:t>
      </w:r>
    </w:p>
    <w:p>
      <w:pPr>
        <w:widowControl/>
        <w:spacing w:after="80" w:line="269" w:lineRule="auto"/>
      </w:pPr>
      <w:r>
        <w:rPr>
          <w:rFonts w:ascii="Carlito" w:hAnsi="Carlito"/>
          <w:i w:val="0"/>
          <w:sz w:val="21"/>
        </w:rPr>
        <w:t>Одновременно поручение не создаёт материальное право скрытым образом. Налог, расход, запрет, обязанность гражданина, изменение компетенции или юридический статус возникают только через обычный акт компетентного органа.</w:t>
      </w:r>
    </w:p>
    <w:p>
      <w:pPr>
        <w:pStyle w:val="DoctrineQuote"/>
        <w:keepLines/>
        <w:widowControl/>
        <w:spacing w:before="80" w:after="140"/>
        <w:ind w:left="369" w:right="198"/>
      </w:pPr>
      <w:r>
        <w:rPr>
          <w:rFonts w:ascii="Carlito" w:hAnsi="Carlito"/>
          <w:sz w:val="21"/>
        </w:rPr>
        <w:t>Проверочный вопрос: существует ли конкретный обязательный эффект, не превращающий поручение в самостоятельный закон?</w:t>
      </w:r>
    </w:p>
    <w:p>
      <w:pPr>
        <w:pStyle w:val="Heading2"/>
        <w:keepNext/>
        <w:widowControl/>
      </w:pPr>
      <w:r>
        <w:t>7. Принцип компетенции и разделённой ответственности</w:t>
      </w:r>
    </w:p>
    <w:p>
      <w:pPr>
        <w:widowControl/>
        <w:spacing w:after="80" w:line="269" w:lineRule="auto"/>
      </w:pPr>
      <w:r>
        <w:rPr>
          <w:rFonts w:ascii="Carlito" w:hAnsi="Carlito"/>
          <w:i w:val="0"/>
          <w:sz w:val="21"/>
        </w:rPr>
        <w:t>Каждый субъект отвечает только за действия и решения, относящиеся к его полномочиям и фактическому контролю. Совместная компетенция раскрывается как координационная зависимость, а не маскируется назначением одного фиктивного владельца результата.</w:t>
      </w:r>
    </w:p>
    <w:p>
      <w:pPr>
        <w:widowControl/>
        <w:spacing w:after="80" w:line="269" w:lineRule="auto"/>
      </w:pPr>
      <w:r>
        <w:rPr>
          <w:rFonts w:ascii="Carlito" w:hAnsi="Carlito"/>
          <w:i w:val="0"/>
          <w:sz w:val="21"/>
        </w:rPr>
        <w:t>Запрещается:</w:t>
      </w:r>
    </w:p>
    <w:p>
      <w:pPr>
        <w:pStyle w:val="ListBullet"/>
        <w:widowControl/>
        <w:spacing w:after="50" w:line="259" w:lineRule="auto"/>
        <w:ind w:left="312" w:hanging="142"/>
      </w:pPr>
      <w:r>
        <w:rPr>
          <w:rFonts w:ascii="Carlito" w:hAnsi="Carlito"/>
          <w:sz w:val="20"/>
        </w:rPr>
        <w:t>возлагать на кандидата гарантию решения парламента, суда, региона, рынка или иностранного государства;</w:t>
      </w:r>
    </w:p>
    <w:p>
      <w:pPr>
        <w:pStyle w:val="ListBullet"/>
        <w:widowControl/>
        <w:spacing w:after="50" w:line="259" w:lineRule="auto"/>
        <w:ind w:left="312" w:hanging="142"/>
      </w:pPr>
      <w:r>
        <w:rPr>
          <w:rFonts w:ascii="Carlito" w:hAnsi="Carlito"/>
          <w:sz w:val="20"/>
        </w:rPr>
        <w:t>обязывать отдельного депутата голосовать определённым образом;</w:t>
      </w:r>
    </w:p>
    <w:p>
      <w:pPr>
        <w:pStyle w:val="ListBullet"/>
        <w:widowControl/>
        <w:spacing w:after="50" w:line="259" w:lineRule="auto"/>
        <w:ind w:left="312" w:hanging="142"/>
      </w:pPr>
      <w:r>
        <w:rPr>
          <w:rFonts w:ascii="Carlito" w:hAnsi="Carlito"/>
          <w:sz w:val="20"/>
        </w:rPr>
        <w:t>перекладывать национальное обязательство на регион или муниципалитет без его компетенции, согласия и финансирования;</w:t>
      </w:r>
    </w:p>
    <w:p>
      <w:pPr>
        <w:pStyle w:val="ListBullet"/>
        <w:widowControl/>
        <w:spacing w:after="50" w:line="259" w:lineRule="auto"/>
        <w:ind w:left="312" w:hanging="142"/>
      </w:pPr>
      <w:r>
        <w:rPr>
          <w:rFonts w:ascii="Carlito" w:hAnsi="Carlito"/>
          <w:sz w:val="20"/>
        </w:rPr>
        <w:t>использовать реорганизацию ведомства для прекращения публичного следа и ответственности.</w:t>
      </w:r>
    </w:p>
    <w:p>
      <w:pPr>
        <w:pStyle w:val="DoctrineQuote"/>
        <w:keepLines/>
        <w:widowControl/>
        <w:spacing w:before="80" w:after="140"/>
        <w:ind w:left="369" w:right="198"/>
      </w:pPr>
      <w:r>
        <w:rPr>
          <w:rFonts w:ascii="Carlito" w:hAnsi="Carlito"/>
          <w:sz w:val="21"/>
        </w:rPr>
        <w:t>Проверочный вопрос: какой конкретный субъект способен совершить действие, каким правом и ресурсом он располагает и от кого зависит результат?</w:t>
      </w:r>
    </w:p>
    <w:p>
      <w:pPr>
        <w:pStyle w:val="Heading2"/>
        <w:keepNext/>
        <w:widowControl/>
      </w:pPr>
      <w:r>
        <w:t>8. Принцип прозрачности власти и приватности гражданина</w:t>
      </w:r>
    </w:p>
    <w:p>
      <w:pPr>
        <w:widowControl/>
        <w:spacing w:after="80" w:line="269" w:lineRule="auto"/>
      </w:pPr>
      <w:r>
        <w:rPr>
          <w:rFonts w:ascii="Carlito" w:hAnsi="Carlito"/>
          <w:i w:val="0"/>
          <w:sz w:val="21"/>
        </w:rPr>
        <w:t>Прозрачность распространяется прежде всего на решения, методики, бюджеты, крупное финансирование, профессиональную координацию, контракты, алгоритмы и действия публичных субъектов. Политические действия рядового гражданина охраняются тайной и минимизацией данных.</w:t>
      </w:r>
    </w:p>
    <w:p>
      <w:pPr>
        <w:widowControl/>
        <w:spacing w:after="80" w:line="269" w:lineRule="auto"/>
      </w:pPr>
      <w:r>
        <w:rPr>
          <w:rFonts w:ascii="Carlito" w:hAnsi="Carlito"/>
          <w:i w:val="0"/>
          <w:sz w:val="21"/>
        </w:rPr>
        <w:t>Публичность процесса не означает публичность индивидуальной истории участия. Техническая архитектура должна предотвращать возможность объединить идентичность, инициативы, поддержку, обсуждения, жалобы и голосование в единый профиль.</w:t>
      </w:r>
    </w:p>
    <w:p>
      <w:pPr>
        <w:pStyle w:val="DoctrineQuote"/>
        <w:keepLines/>
        <w:widowControl/>
        <w:spacing w:before="80" w:after="140"/>
        <w:ind w:left="369" w:right="198"/>
      </w:pPr>
      <w:r>
        <w:rPr>
          <w:rFonts w:ascii="Carlito" w:hAnsi="Carlito"/>
          <w:sz w:val="21"/>
        </w:rPr>
        <w:t>Проверочный вопрос: раскрывает ли требуемая информация власть и организованное влияние либо делает видимым обычного гражданина?</w:t>
      </w:r>
    </w:p>
    <w:p>
      <w:pPr>
        <w:pStyle w:val="Heading2"/>
        <w:keepNext/>
        <w:widowControl/>
      </w:pPr>
      <w:r>
        <w:t>9. Принцип равного и фактически доступного участия</w:t>
      </w:r>
    </w:p>
    <w:p>
      <w:pPr>
        <w:widowControl/>
        <w:spacing w:after="80" w:line="269" w:lineRule="auto"/>
      </w:pPr>
      <w:r>
        <w:rPr>
          <w:rFonts w:ascii="Carlito" w:hAnsi="Carlito"/>
          <w:i w:val="0"/>
          <w:sz w:val="21"/>
        </w:rPr>
        <w:t>Цифровой и недигитальный каналы должны обеспечивать сопоставимое право участия, проверку права, тайну и возможность обжалования. Формальное наличие офлайн-точки не доказывает доступность, если территория, язык, инвалидность, стоимость, страх преследования или помощь посредника фактически исключают человека.</w:t>
      </w:r>
    </w:p>
    <w:p>
      <w:pPr>
        <w:widowControl/>
        <w:spacing w:after="80" w:line="269" w:lineRule="auto"/>
      </w:pPr>
      <w:r>
        <w:rPr>
          <w:rFonts w:ascii="Carlito" w:hAnsi="Carlito"/>
          <w:i w:val="0"/>
          <w:sz w:val="21"/>
        </w:rPr>
        <w:t>Равенство голоса сохраняется на итоговой стадии. Специальные маршруты меньшинств могут обеспечивать выход темы к обсуждению и правовую защиту, но не превращаются в тайное увеличение веса индивидуального голоса без конституционного основания.</w:t>
      </w:r>
    </w:p>
    <w:p>
      <w:pPr>
        <w:pStyle w:val="DoctrineQuote"/>
        <w:keepLines/>
        <w:widowControl/>
        <w:spacing w:before="80" w:after="140"/>
        <w:ind w:left="369" w:right="198"/>
      </w:pPr>
      <w:r>
        <w:rPr>
          <w:rFonts w:ascii="Carlito" w:hAnsi="Carlito"/>
          <w:sz w:val="21"/>
        </w:rPr>
        <w:t>Проверочный вопрос: какие группы фактически отсутствуют и является ли их отсутствие свободным выбором, а не барьером?</w:t>
      </w:r>
    </w:p>
    <w:p>
      <w:pPr>
        <w:pStyle w:val="Heading2"/>
        <w:keepNext/>
        <w:widowControl/>
      </w:pPr>
      <w:r>
        <w:t>10. Принцип разделения функций и защиты от захвата</w:t>
      </w:r>
    </w:p>
    <w:p>
      <w:pPr>
        <w:widowControl/>
        <w:spacing w:after="80" w:line="269" w:lineRule="auto"/>
      </w:pPr>
      <w:r>
        <w:rPr>
          <w:rFonts w:ascii="Carlito" w:hAnsi="Carlito"/>
          <w:i w:val="0"/>
          <w:sz w:val="21"/>
        </w:rPr>
        <w:t>Власть над повесткой, допустимостью, данными, толкованием и оценкой не концентрируется в одном органе. Независимость обеспечивается не названием, а несовместимостью функций, открытым назначением, короткими невозобновляемыми сроками, ротацией, прозрачным бюджетом, аудитом, правом отвода и судебной защитой.</w:t>
      </w:r>
    </w:p>
    <w:p>
      <w:pPr>
        <w:widowControl/>
        <w:spacing w:after="80" w:line="269" w:lineRule="auto"/>
      </w:pPr>
      <w:r>
        <w:rPr>
          <w:rFonts w:ascii="Carlito" w:hAnsi="Carlito"/>
          <w:i w:val="0"/>
          <w:sz w:val="21"/>
        </w:rPr>
        <w:t>Ни одна точка контроля не должна быть единственной. При этом надзор не может бесконечно дублироваться: для каждого риска определяется один основной контролёр и один независимый внешний путь проверки.</w:t>
      </w:r>
    </w:p>
    <w:p>
      <w:pPr>
        <w:pStyle w:val="DoctrineQuote"/>
        <w:keepLines/>
        <w:widowControl/>
        <w:spacing w:before="80" w:after="140"/>
        <w:ind w:left="369" w:right="198"/>
      </w:pPr>
      <w:r>
        <w:rPr>
          <w:rFonts w:ascii="Carlito" w:hAnsi="Carlito"/>
          <w:sz w:val="21"/>
        </w:rPr>
        <w:t>Проверочный вопрос: что сможет сделать недобросовестный субъект, если получит контроль над назначением, бюджетом, методикой и подрядчиком одновременно?</w:t>
      </w:r>
    </w:p>
    <w:p>
      <w:pPr>
        <w:pStyle w:val="Heading2"/>
        <w:keepNext/>
        <w:widowControl/>
      </w:pPr>
      <w:r>
        <w:t>11. Принцип соразмерности, простоты и экономичности</w:t>
      </w:r>
    </w:p>
    <w:p>
      <w:pPr>
        <w:widowControl/>
        <w:spacing w:after="80" w:line="269" w:lineRule="auto"/>
      </w:pPr>
      <w:r>
        <w:rPr>
          <w:rFonts w:ascii="Carlito" w:hAnsi="Carlito"/>
          <w:i w:val="0"/>
          <w:sz w:val="21"/>
        </w:rPr>
        <w:t>Глубина процедуры соответствует риску и стадии. Небольшая инициатива не требует полного национального анализа; дорогостоящий или конституционно чувствительный пункт не может проходить только через короткую карточку. Любая новая комиссия, реестр или цифровая система обосновывает необходимость, альтернативы, стоимость, данные, контроль и условия прекращения.</w:t>
      </w:r>
    </w:p>
    <w:p>
      <w:pPr>
        <w:widowControl/>
        <w:spacing w:after="80" w:line="269" w:lineRule="auto"/>
      </w:pPr>
      <w:r>
        <w:rPr>
          <w:rFonts w:ascii="Carlito" w:hAnsi="Carlito"/>
          <w:i w:val="0"/>
          <w:sz w:val="21"/>
        </w:rPr>
        <w:t>Административная нагрузка считается самостоятельным риском демократии. Система, понятная лишь профессиональным посредникам, не может считаться гражданской.</w:t>
      </w:r>
    </w:p>
    <w:p>
      <w:pPr>
        <w:pStyle w:val="DoctrineQuote"/>
        <w:keepLines/>
        <w:widowControl/>
        <w:spacing w:before="80" w:after="140"/>
        <w:ind w:left="369" w:right="198"/>
      </w:pPr>
      <w:r>
        <w:rPr>
          <w:rFonts w:ascii="Carlito" w:hAnsi="Carlito"/>
          <w:sz w:val="21"/>
        </w:rPr>
        <w:t>Проверочный вопрос: какую доказанную функцию выполняет каждый этап и можно ли обеспечить её более простым средством?</w:t>
      </w:r>
    </w:p>
    <w:p>
      <w:pPr>
        <w:pStyle w:val="Heading2"/>
        <w:keepNext/>
        <w:widowControl/>
      </w:pPr>
      <w:r>
        <w:t>12. Принцип адаптивности, прослеживаемости и обратимости</w:t>
      </w:r>
    </w:p>
    <w:p>
      <w:pPr>
        <w:widowControl/>
        <w:spacing w:after="80" w:line="269" w:lineRule="auto"/>
      </w:pPr>
      <w:r>
        <w:rPr>
          <w:rFonts w:ascii="Carlito" w:hAnsi="Carlito"/>
          <w:i w:val="0"/>
          <w:sz w:val="21"/>
        </w:rPr>
        <w:t>Избранная власть вправе изменить способ, срок или политический курс при новых данных, изменении права, кризисе, утрате компетенции или доказанной несоразмерности. Такое изменение не требует разрешения оценочного органа, но сопровождается публичной мотивировкой, альтернативами, последствиями, новой карточкой и сохранением исходной версии.</w:t>
      </w:r>
    </w:p>
    <w:p>
      <w:pPr>
        <w:widowControl/>
        <w:spacing w:after="80" w:line="269" w:lineRule="auto"/>
      </w:pPr>
      <w:r>
        <w:rPr>
          <w:rFonts w:ascii="Carlito" w:hAnsi="Carlito"/>
          <w:i w:val="0"/>
          <w:sz w:val="21"/>
        </w:rPr>
        <w:t>Пилоты и новые органы имеют ограниченный срок. Отрицательная оценка или недостижение заранее заданных ворот прекращает режим автоматически, если его продолжение не утверждено заново после публичного рассмотрения.</w:t>
      </w:r>
    </w:p>
    <w:p>
      <w:pPr>
        <w:pStyle w:val="DoctrineQuote"/>
        <w:keepLines/>
        <w:widowControl/>
        <w:spacing w:before="80" w:after="140"/>
        <w:ind w:left="369" w:right="198"/>
      </w:pPr>
      <w:r>
        <w:rPr>
          <w:rFonts w:ascii="Carlito" w:hAnsi="Carlito"/>
          <w:sz w:val="21"/>
        </w:rPr>
        <w:t>Проверочный вопрос: может ли система честно изменить ошибочный курс, не стирая первоначальное обещание и не выдавая замену за исполнение?</w:t>
      </w:r>
    </w:p>
    <w:p>
      <w:pPr>
        <w:pStyle w:val="Heading2"/>
        <w:keepNext/>
        <w:widowControl/>
      </w:pPr>
      <w:r>
        <w:t>13. Принцип нейтрального официального информирования</w:t>
      </w:r>
    </w:p>
    <w:p>
      <w:pPr>
        <w:widowControl/>
        <w:spacing w:after="80" w:line="269" w:lineRule="auto"/>
      </w:pPr>
      <w:r>
        <w:rPr>
          <w:rFonts w:ascii="Carlito" w:hAnsi="Carlito"/>
          <w:i w:val="0"/>
          <w:sz w:val="21"/>
        </w:rPr>
        <w:t>Официальные материалы обязаны быть равными по объёму, источникам и порядку представления позиций. Запрещаются единый рейтинг соответствия, эмоциональные ярлыки, предустановленные фильтры, цветовые сигналы успеха и иные формы скрытого подталкивания.</w:t>
      </w:r>
    </w:p>
    <w:p>
      <w:pPr>
        <w:widowControl/>
        <w:spacing w:after="80" w:line="269" w:lineRule="auto"/>
      </w:pPr>
      <w:r>
        <w:rPr>
          <w:rFonts w:ascii="Carlito" w:hAnsi="Carlito"/>
          <w:i w:val="0"/>
          <w:sz w:val="21"/>
        </w:rPr>
        <w:t>Пользовательский интерфейс и бумажные материалы проходят независимый аудит на понятность, доступность и политическую нейтральность. Полный текст позиции кандидата и исходные данные доступны рядом с кратким представлением.</w:t>
      </w:r>
    </w:p>
    <w:p>
      <w:pPr>
        <w:pStyle w:val="DoctrineQuote"/>
        <w:keepLines/>
        <w:widowControl/>
        <w:spacing w:before="80" w:after="140"/>
        <w:ind w:left="369" w:right="198"/>
      </w:pPr>
      <w:r>
        <w:rPr>
          <w:rFonts w:ascii="Carlito" w:hAnsi="Carlito"/>
          <w:sz w:val="21"/>
        </w:rPr>
        <w:t>Проверочный вопрос: изменился бы вероятный выбор пользователя только из-за порядка, цвета, размера или умолчания официального интерфейса?</w:t>
      </w:r>
    </w:p>
    <w:p>
      <w:pPr>
        <w:pStyle w:val="Heading2"/>
        <w:keepNext/>
        <w:widowControl/>
      </w:pPr>
      <w:r>
        <w:t>14. Правила разрешения конфликтов принципов</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4833"/>
        <w:gridCol w:w="4833"/>
      </w:tblGrid>
      <w:tr>
        <w:trPr>
          <w:tblHeader w:val="true"/>
          <w:cantSplit/>
          <w:tblHeader w:val="true"/>
        </w:trPr>
        <w:tc>
          <w:tcPr>
            <w:tcW w:type="dxa" w:w="1584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Конфликт</w:t>
            </w:r>
          </w:p>
        </w:tc>
        <w:tc>
          <w:tcPr>
            <w:tcW w:type="dxa" w:w="432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Правило разрешения</w:t>
            </w:r>
          </w:p>
        </w:tc>
      </w:tr>
      <w:tr>
        <w:trPr>
          <w:cantSplit/>
          <w:cantSplit/>
        </w:trPr>
        <w:tc>
          <w:tcPr>
            <w:tcW w:type="dxa" w:w="158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Прозрачность — тайна</w:t>
            </w:r>
          </w:p>
        </w:tc>
        <w:tc>
          <w:tcPr>
            <w:tcW w:type="dxa" w:w="432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Публичны решения и организованное влияние; индивидуальные политические действия защищены. Публикуются агрегированные и минимизированные данные.</w:t>
            </w:r>
          </w:p>
        </w:tc>
      </w:tr>
      <w:tr>
        <w:trPr>
          <w:cantSplit/>
          <w:cantSplit/>
        </w:trPr>
        <w:tc>
          <w:tcPr>
            <w:tcW w:type="dxa" w:w="158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Представительность — равенство голоса</w:t>
            </w:r>
          </w:p>
        </w:tc>
        <w:tc>
          <w:tcPr>
            <w:tcW w:type="dxa" w:w="432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Специальные маршруты обеспечивают доступ темы и защиту прав, но итоговый голос равен, если Конституция не предусматривает федеративное или иное большинство.</w:t>
            </w:r>
          </w:p>
        </w:tc>
      </w:tr>
      <w:tr>
        <w:trPr>
          <w:cantSplit/>
          <w:cantSplit/>
        </w:trPr>
        <w:tc>
          <w:tcPr>
            <w:tcW w:type="dxa" w:w="158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Стабильность — адаптация</w:t>
            </w:r>
          </w:p>
        </w:tc>
        <w:tc>
          <w:tcPr>
            <w:tcW w:type="dxa" w:w="432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Исходный текст и след неизменны; курс можно менять с мотивировкой, данными и политической ценой.</w:t>
            </w:r>
          </w:p>
        </w:tc>
      </w:tr>
      <w:tr>
        <w:trPr>
          <w:cantSplit/>
          <w:cantSplit/>
        </w:trPr>
        <w:tc>
          <w:tcPr>
            <w:tcW w:type="dxa" w:w="158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Экспертиза — гражданская субъектность</w:t>
            </w:r>
          </w:p>
        </w:tc>
        <w:tc>
          <w:tcPr>
            <w:tcW w:type="dxa" w:w="432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Эксперты раскрывают последствия и альтернативы, но не имеют содержательного политического вето.</w:t>
            </w:r>
          </w:p>
        </w:tc>
      </w:tr>
      <w:tr>
        <w:trPr>
          <w:cantSplit/>
          <w:cantSplit/>
        </w:trPr>
        <w:tc>
          <w:tcPr>
            <w:tcW w:type="dxa" w:w="158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Безопасность — участие</w:t>
            </w:r>
          </w:p>
        </w:tc>
        <w:tc>
          <w:tcPr>
            <w:tcW w:type="dxa" w:w="432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Ограничение должно быть необходимым, временным и наименее ограничительным; политический профиль не создаётся.</w:t>
            </w:r>
          </w:p>
        </w:tc>
      </w:tr>
      <w:tr>
        <w:trPr>
          <w:cantSplit/>
          <w:cantSplit/>
        </w:trPr>
        <w:tc>
          <w:tcPr>
            <w:tcW w:type="dxa" w:w="158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Обязательность — компетенция</w:t>
            </w:r>
          </w:p>
        </w:tc>
        <w:tc>
          <w:tcPr>
            <w:tcW w:type="dxa" w:w="432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Обязательны собственные действия, данные и объяснение; материальный результат достигается через компетентный правовой маршрут.</w:t>
            </w:r>
          </w:p>
        </w:tc>
      </w:tr>
      <w:tr>
        <w:trPr>
          <w:cantSplit/>
          <w:cantSplit/>
        </w:trPr>
        <w:tc>
          <w:tcPr>
            <w:tcW w:type="dxa" w:w="158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Простота — качество</w:t>
            </w:r>
          </w:p>
        </w:tc>
        <w:tc>
          <w:tcPr>
            <w:tcW w:type="dxa" w:w="432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Глубина процедуры зависит от риска; сложность должна быть видима и обоснована, а не перенесена на гражданина.</w:t>
            </w:r>
          </w:p>
        </w:tc>
      </w:tr>
      <w:tr>
        <w:trPr>
          <w:cantSplit/>
          <w:cantSplit/>
        </w:trPr>
        <w:tc>
          <w:tcPr>
            <w:tcW w:type="dxa" w:w="158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Большинство — меньшинство</w:t>
            </w:r>
          </w:p>
        </w:tc>
        <w:tc>
          <w:tcPr>
            <w:tcW w:type="dxa" w:w="432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Большинство определяет допустимые цели, но не отменяет основные права; меньшинство не получает общего права вето на законную волю большинства.</w:t>
            </w:r>
          </w:p>
        </w:tc>
      </w:tr>
    </w:tbl>
    <w:p>
      <w:pPr>
        <w:pStyle w:val="Heading2"/>
        <w:keepNext/>
        <w:widowControl/>
      </w:pPr>
      <w:r>
        <w:t>15. Последствия нарушения принципов</w:t>
      </w:r>
    </w:p>
    <w:p>
      <w:pPr>
        <w:widowControl/>
        <w:spacing w:after="80" w:line="269" w:lineRule="auto"/>
      </w:pPr>
      <w:r>
        <w:rPr>
          <w:rFonts w:ascii="Carlito" w:hAnsi="Carlito"/>
          <w:i w:val="0"/>
          <w:sz w:val="21"/>
        </w:rPr>
        <w:t>Нарушение принципа уровня I делает соответствующее положение недопустимым. Нарушение уровня II требует исправления до утверждения национальной адаптации. Нарушение уровней III–IV влечёт неприменение спорного решения, повтор процедуры либо иное эффективное средство защиты. Организационный дефект уровня V устраняется без отмены всего цикла, если не повлиял на равенство, смысл или результат.</w:t>
      </w:r>
    </w:p>
    <w:p>
      <w:pPr>
        <w:widowControl/>
        <w:spacing w:after="80" w:line="269" w:lineRule="auto"/>
      </w:pPr>
      <w:r>
        <w:rPr>
          <w:rFonts w:ascii="Carlito" w:hAnsi="Carlito"/>
          <w:i w:val="0"/>
          <w:sz w:val="21"/>
        </w:rPr>
        <w:t>Решение о последствиях должно быть соразмерным: техническая ошибка не отменяет миллионы действительных действий, а существенное искажение повестки не может быть признано безвредным только потому, что итоговый подсчёт был точным.</w:t>
      </w:r>
    </w:p>
    <w:p>
      <w:pPr>
        <w:pStyle w:val="Heading2"/>
        <w:keepNext/>
        <w:widowControl/>
      </w:pPr>
      <w:r>
        <w:t>16. Наиболее сильные возражения и встроенные ответы</w:t>
      </w:r>
    </w:p>
    <w:p>
      <w:pPr>
        <w:pStyle w:val="Heading3"/>
        <w:keepNext/>
        <w:widowControl/>
      </w:pPr>
      <w:r>
        <w:t>16.1. «Любой актор сможет выбрать удобный принцип»</w:t>
      </w:r>
    </w:p>
    <w:p>
      <w:pPr>
        <w:widowControl/>
        <w:spacing w:after="60" w:line="269" w:lineRule="auto"/>
      </w:pPr>
      <w:r>
        <w:rPr>
          <w:rFonts w:ascii="Carlito" w:hAnsi="Carlito"/>
          <w:i/>
          <w:sz w:val="21"/>
        </w:rPr>
        <w:t>Большой каталог ценностей увеличивает дискрецию толкователя.</w:t>
      </w:r>
    </w:p>
    <w:p>
      <w:pPr>
        <w:widowControl/>
        <w:spacing w:after="100" w:line="264" w:lineRule="auto"/>
      </w:pPr>
      <w:r>
        <w:rPr>
          <w:rFonts w:ascii="Carlito" w:hAnsi="Carlito"/>
          <w:b/>
          <w:color w:val="1A3754"/>
          <w:sz w:val="21"/>
        </w:rPr>
        <w:t xml:space="preserve">Встроенный ответ. </w:t>
      </w:r>
      <w:r>
        <w:rPr>
          <w:rFonts w:ascii="Carlito" w:hAnsi="Carlito"/>
          <w:sz w:val="21"/>
        </w:rPr>
        <w:t>Принципы иерархизированы, снабжены запретами и проверочными вопросами. Конфликт разрешается тестом соразмерности, а не свободным выбором понравившейся ценности.</w:t>
      </w:r>
    </w:p>
    <w:p>
      <w:pPr>
        <w:pStyle w:val="Heading3"/>
        <w:keepNext/>
        <w:widowControl/>
      </w:pPr>
      <w:r>
        <w:t>16.2. «Защита меньшинств позволит блокировать большинство»</w:t>
      </w:r>
    </w:p>
    <w:p>
      <w:pPr>
        <w:widowControl/>
        <w:spacing w:after="60" w:line="269" w:lineRule="auto"/>
      </w:pPr>
      <w:r>
        <w:rPr>
          <w:rFonts w:ascii="Carlito" w:hAnsi="Carlito"/>
          <w:i/>
          <w:sz w:val="21"/>
        </w:rPr>
        <w:t>Широкое право вето может парализовать общественный выбор.</w:t>
      </w:r>
    </w:p>
    <w:p>
      <w:pPr>
        <w:widowControl/>
        <w:spacing w:after="100" w:line="264" w:lineRule="auto"/>
      </w:pPr>
      <w:r>
        <w:rPr>
          <w:rFonts w:ascii="Carlito" w:hAnsi="Carlito"/>
          <w:b/>
          <w:color w:val="1A3754"/>
          <w:sz w:val="21"/>
        </w:rPr>
        <w:t xml:space="preserve">Встроенный ответ. </w:t>
      </w:r>
      <w:r>
        <w:rPr>
          <w:rFonts w:ascii="Carlito" w:hAnsi="Carlito"/>
          <w:sz w:val="21"/>
        </w:rPr>
        <w:t>Защищается не любое предпочтение меньшинства, а основные права, равный доступ и возможность вынести затрагивающую тему. Законная политика большинства сохраняется при соблюдении прав и компетенции.</w:t>
      </w:r>
    </w:p>
    <w:p>
      <w:pPr>
        <w:pStyle w:val="Heading3"/>
        <w:keepNext/>
        <w:widowControl/>
      </w:pPr>
      <w:r>
        <w:t>16.3. «Независимость новых органов несовместима с подотчётностью»</w:t>
      </w:r>
    </w:p>
    <w:p>
      <w:pPr>
        <w:widowControl/>
        <w:spacing w:after="60" w:line="269" w:lineRule="auto"/>
      </w:pPr>
      <w:r>
        <w:rPr>
          <w:rFonts w:ascii="Carlito" w:hAnsi="Carlito"/>
          <w:i/>
          <w:sz w:val="21"/>
        </w:rPr>
        <w:t>Чем сильнее защита от политики, тем слабее демократический контроль.</w:t>
      </w:r>
    </w:p>
    <w:p>
      <w:pPr>
        <w:widowControl/>
        <w:spacing w:after="100" w:line="264" w:lineRule="auto"/>
      </w:pPr>
      <w:r>
        <w:rPr>
          <w:rFonts w:ascii="Carlito" w:hAnsi="Carlito"/>
          <w:b/>
          <w:color w:val="1A3754"/>
          <w:sz w:val="21"/>
        </w:rPr>
        <w:t xml:space="preserve">Встроенный ответ. </w:t>
      </w:r>
      <w:r>
        <w:rPr>
          <w:rFonts w:ascii="Carlito" w:hAnsi="Carlito"/>
          <w:sz w:val="21"/>
        </w:rPr>
        <w:t>Независимость ограничивается конкретной функцией и сроком, а решения остаются мотивированными, публичными, обжалуемыми и аудируемыми. Орган не получает общей власти над политической повесткой.</w:t>
      </w:r>
    </w:p>
    <w:p>
      <w:pPr>
        <w:pStyle w:val="Heading2"/>
        <w:keepNext/>
        <w:widowControl/>
      </w:pPr>
      <w:r>
        <w:t>17. Связь с другими главами</w:t>
      </w:r>
    </w:p>
    <w:p>
      <w:pPr>
        <w:widowControl/>
        <w:spacing w:after="80" w:line="269" w:lineRule="auto"/>
      </w:pPr>
      <w:r>
        <w:rPr>
          <w:rFonts w:ascii="Carlito" w:hAnsi="Carlito"/>
          <w:i w:val="0"/>
          <w:sz w:val="21"/>
        </w:rPr>
        <w:t>Все последующие главы обязаны указывать, какие принципы они реализуют и какой механизм обеспечивает их действие. Глава V применяет настоящую иерархию к обязательности; специальные главы — к инициативам, отбору, кандидатам, оценке, информации, кибербезопасности и данным.</w:t>
      </w:r>
    </w:p>
    <w:p>
      <w:pPr>
        <w:pStyle w:val="Heading2"/>
        <w:keepNext/>
        <w:widowControl/>
      </w:pPr>
      <w:r>
        <w:t>18. Вывод</w:t>
      </w:r>
    </w:p>
    <w:p>
      <w:pPr>
        <w:widowControl/>
        <w:spacing w:after="80" w:line="269" w:lineRule="auto"/>
      </w:pPr>
      <w:r>
        <w:rPr>
          <w:rFonts w:ascii="Carlito" w:hAnsi="Carlito"/>
          <w:i w:val="0"/>
          <w:sz w:val="21"/>
        </w:rPr>
        <w:t>Принципы Доктрины образуют систему приоритетов, а не декларативный каталог. Законность, права и компетенция ограничивают обязательность; концептуальное ядро не позволяет превратить поручение в опрос; процедурные гарантии защищают гражданское происхождение; организационные решения остаются изменяемыми и обратимыми.</w:t>
      </w:r>
    </w:p>
    <w:p>
      <w:pPr>
        <w:widowControl/>
      </w:pPr>
      <w:r>
        <w:br w:type="page"/>
      </w:r>
    </w:p>
    <w:p>
      <w:pPr>
        <w:pStyle w:val="Heading1"/>
        <w:keepNext/>
        <w:pageBreakBefore/>
        <w:spacing w:before="0" w:after="160"/>
        <w:widowControl/>
        <w:pBdr>
          <w:bottom w:val="single" w:sz="5" w:space="4" w:color="B4C6E7"/>
        </w:pBdr>
      </w:pPr>
      <w:r>
        <w:t>Глава V. Правовая природа и обязательность общественного поручения</w:t>
      </w:r>
    </w:p>
    <w:p>
      <w:pPr>
        <w:pStyle w:val="Heading2"/>
        <w:keepNext/>
        <w:widowControl/>
      </w:pPr>
      <w:r>
        <w:t>1. Предмет и цель главы</w:t>
      </w:r>
    </w:p>
    <w:p>
      <w:pPr>
        <w:widowControl/>
        <w:spacing w:after="80" w:line="269" w:lineRule="auto"/>
      </w:pPr>
      <w:r>
        <w:rPr>
          <w:rFonts w:ascii="Carlito" w:hAnsi="Carlito"/>
          <w:i w:val="0"/>
          <w:sz w:val="21"/>
        </w:rPr>
        <w:t>Настоящая глава устанавливает правовую природу общественного поручения, источники и пределы его обязательности, последствия декларации кандидата и избрания, границы компетенции, судебного контроля, пересмотра и ответственности.</w:t>
      </w:r>
    </w:p>
    <w:p>
      <w:pPr>
        <w:widowControl/>
        <w:spacing w:after="80" w:line="269" w:lineRule="auto"/>
      </w:pPr>
      <w:r>
        <w:rPr>
          <w:rFonts w:ascii="Carlito" w:hAnsi="Carlito"/>
          <w:i w:val="0"/>
          <w:sz w:val="21"/>
        </w:rPr>
        <w:t>Цель главы — одновременно исключить две противоположные ошибки: превращение поручения в необязательную консультацию и превращение его в параллельный источник права, связывающий органы вне установленной Конституцией компетенции.</w:t>
      </w:r>
    </w:p>
    <w:p>
      <w:pPr>
        <w:pStyle w:val="Heading2"/>
        <w:keepNext/>
        <w:widowControl/>
      </w:pPr>
      <w:r>
        <w:t>2. Многоуровневая правовая природа</w:t>
      </w:r>
    </w:p>
    <w:p>
      <w:pPr>
        <w:widowControl/>
        <w:spacing w:after="80" w:line="269" w:lineRule="auto"/>
      </w:pPr>
      <w:r>
        <w:rPr>
          <w:rFonts w:ascii="Carlito" w:hAnsi="Carlito"/>
          <w:i w:val="0"/>
          <w:sz w:val="21"/>
        </w:rPr>
        <w:t>Правовой эффект Доктрины образуется не одной степенью силы, а последовательностью самостоятельных юридических фактов. Каждый факт создаёт только заранее определённые последствия и не может использоваться для расширения последующего этапа.</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15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Уровень</w:t>
            </w:r>
          </w:p>
        </w:tc>
        <w:tc>
          <w:tcPr>
            <w:tcW w:type="dxa" w:w="187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Юридический факт</w:t>
            </w:r>
          </w:p>
        </w:tc>
        <w:tc>
          <w:tcPr>
            <w:tcW w:type="dxa" w:w="2844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Возникающий эффект</w:t>
            </w:r>
          </w:p>
        </w:tc>
      </w:tr>
      <w:tr>
        <w:trPr>
          <w:cantSplit/>
          <w:cantSplit/>
        </w:trPr>
        <w:tc>
          <w:tcPr>
            <w:tcW w:type="dxa" w:w="115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1. Учредительный</w:t>
            </w:r>
          </w:p>
        </w:tc>
        <w:tc>
          <w:tcPr>
            <w:tcW w:type="dxa" w:w="187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Конституция или закон закрепляет процедуру.</w:t>
            </w:r>
          </w:p>
        </w:tc>
        <w:tc>
          <w:tcPr>
            <w:tcW w:type="dxa" w:w="284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Возникают права участия, обязанности органов, сроки, гарантии, контроль и средства защиты.</w:t>
            </w:r>
          </w:p>
        </w:tc>
      </w:tr>
      <w:tr>
        <w:trPr>
          <w:cantSplit/>
          <w:cantSplit/>
        </w:trPr>
        <w:tc>
          <w:tcPr>
            <w:tcW w:type="dxa" w:w="115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2. Общественный</w:t>
            </w:r>
          </w:p>
        </w:tc>
        <w:tc>
          <w:tcPr>
            <w:tcW w:type="dxa" w:w="187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Граждане утверждают общественное поручение.</w:t>
            </w:r>
          </w:p>
        </w:tc>
        <w:tc>
          <w:tcPr>
            <w:tcW w:type="dxa" w:w="284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Возникает официальный мандат и запускается единый цикл деклараций кандидатов.</w:t>
            </w:r>
          </w:p>
        </w:tc>
      </w:tr>
      <w:tr>
        <w:trPr>
          <w:cantSplit/>
          <w:cantSplit/>
        </w:trPr>
        <w:tc>
          <w:tcPr>
            <w:tcW w:type="dxa" w:w="115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3. Кандидатский</w:t>
            </w:r>
          </w:p>
        </w:tc>
        <w:tc>
          <w:tcPr>
            <w:tcW w:type="dxa" w:w="187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Кандидат публикует декларацию.</w:t>
            </w:r>
          </w:p>
        </w:tc>
        <w:tc>
          <w:tcPr>
            <w:tcW w:type="dxa" w:w="284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Фиксируются его собственные принятие, условия, альтернатива или отказ; применяется правило минимальной доли принятия.</w:t>
            </w:r>
          </w:p>
        </w:tc>
      </w:tr>
      <w:tr>
        <w:trPr>
          <w:cantSplit/>
          <w:cantSplit/>
        </w:trPr>
        <w:tc>
          <w:tcPr>
            <w:tcW w:type="dxa" w:w="115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4. Электоральный</w:t>
            </w:r>
          </w:p>
        </w:tc>
        <w:tc>
          <w:tcPr>
            <w:tcW w:type="dxa" w:w="187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Кандидат избран.</w:t>
            </w:r>
          </w:p>
        </w:tc>
        <w:tc>
          <w:tcPr>
            <w:tcW w:type="dxa" w:w="284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Его принятые положения включаются в реестр подотчётной реализации; не возникает презумпции отдельного одобрения каждого пункта избирателями.</w:t>
            </w:r>
          </w:p>
        </w:tc>
      </w:tr>
      <w:tr>
        <w:trPr>
          <w:cantSplit/>
          <w:cantSplit/>
        </w:trPr>
        <w:tc>
          <w:tcPr>
            <w:tcW w:type="dxa" w:w="115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5. Исполнительный</w:t>
            </w:r>
          </w:p>
        </w:tc>
        <w:tc>
          <w:tcPr>
            <w:tcW w:type="dxa" w:w="187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Избранный субъект совершает собственные действия и принимает решения в своей компетенции.</w:t>
            </w:r>
          </w:p>
        </w:tc>
        <w:tc>
          <w:tcPr>
            <w:tcW w:type="dxa" w:w="284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Возникают проверяемые обязанности плана, внесения, издания, координации, данных и мотивировки.</w:t>
            </w:r>
          </w:p>
        </w:tc>
      </w:tr>
      <w:tr>
        <w:trPr>
          <w:cantSplit/>
          <w:cantSplit/>
        </w:trPr>
        <w:tc>
          <w:tcPr>
            <w:tcW w:type="dxa" w:w="115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6. Материально-правовой</w:t>
            </w:r>
          </w:p>
        </w:tc>
        <w:tc>
          <w:tcPr>
            <w:tcW w:type="dxa" w:w="187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Компетентный орган принимает закон, бюджет, указ или иной акт реализации.</w:t>
            </w:r>
          </w:p>
        </w:tc>
        <w:tc>
          <w:tcPr>
            <w:tcW w:type="dxa" w:w="2844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Только этот акт создаёт расходы, права, запреты, полномочия и иные материальные последствия.</w:t>
            </w:r>
          </w:p>
        </w:tc>
      </w:tr>
      <w:tr>
        <w:trPr>
          <w:cantSplit/>
          <w:cantSplit/>
        </w:trPr>
        <w:tc>
          <w:tcPr>
            <w:tcW w:type="dxa" w:w="115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7. Оценочный</w:t>
            </w:r>
          </w:p>
        </w:tc>
        <w:tc>
          <w:tcPr>
            <w:tcW w:type="dxa" w:w="187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Публикуются мониторинг и независимая оценка.</w:t>
            </w:r>
          </w:p>
        </w:tc>
        <w:tc>
          <w:tcPr>
            <w:tcW w:type="dxa" w:w="2844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Возникают политическая ответственность, институциональная память и обычные правовые последствия конкретных нарушений.</w:t>
            </w:r>
          </w:p>
        </w:tc>
      </w:tr>
    </w:tbl>
    <w:p>
      <w:pPr>
        <w:widowControl/>
        <w:spacing w:after="80" w:line="269" w:lineRule="auto"/>
      </w:pPr>
      <w:r>
        <w:rPr>
          <w:rFonts w:ascii="Carlito" w:hAnsi="Carlito"/>
          <w:i w:val="0"/>
          <w:sz w:val="21"/>
        </w:rPr>
        <w:t>Ни один уровень не поглощает другой. В частности, общественное голосование не заменяет выборы; выборы не заменяют отдельное принятие закона; декларация кандидата не связывает парламент; аналитическая оценка не является судебным решением.</w:t>
      </w:r>
    </w:p>
    <w:p>
      <w:pPr>
        <w:pStyle w:val="Heading2"/>
        <w:keepNext/>
        <w:widowControl/>
      </w:pPr>
      <w:r>
        <w:t>3. Официальный статус общественного мандата</w:t>
      </w:r>
    </w:p>
    <w:p>
      <w:pPr>
        <w:widowControl/>
        <w:spacing w:after="80" w:line="269" w:lineRule="auto"/>
      </w:pPr>
      <w:r>
        <w:rPr>
          <w:rFonts w:ascii="Carlito" w:hAnsi="Carlito"/>
          <w:i w:val="0"/>
          <w:sz w:val="21"/>
        </w:rPr>
        <w:t>Общественный мандат является официальным публичным документом доказательственного и процедурного характера. Его официальность означает:</w:t>
      </w:r>
    </w:p>
    <w:p>
      <w:pPr>
        <w:pStyle w:val="ListBullet"/>
        <w:widowControl/>
        <w:spacing w:after="50" w:line="259" w:lineRule="auto"/>
        <w:ind w:left="312" w:hanging="142"/>
      </w:pPr>
      <w:r>
        <w:rPr>
          <w:rFonts w:ascii="Carlito" w:hAnsi="Carlito"/>
          <w:sz w:val="20"/>
        </w:rPr>
        <w:t>удостоверение неизменяемого текста и результата общественной процедуры;</w:t>
      </w:r>
    </w:p>
    <w:p>
      <w:pPr>
        <w:pStyle w:val="ListBullet"/>
        <w:widowControl/>
        <w:spacing w:after="50" w:line="259" w:lineRule="auto"/>
        <w:ind w:left="312" w:hanging="142"/>
      </w:pPr>
      <w:r>
        <w:rPr>
          <w:rFonts w:ascii="Carlito" w:hAnsi="Carlito"/>
          <w:sz w:val="20"/>
        </w:rPr>
        <w:t>обязательное использование единой версии во всех официальных материалах;</w:t>
      </w:r>
    </w:p>
    <w:p>
      <w:pPr>
        <w:pStyle w:val="ListBullet"/>
        <w:widowControl/>
        <w:spacing w:after="50" w:line="259" w:lineRule="auto"/>
        <w:ind w:left="312" w:hanging="142"/>
      </w:pPr>
      <w:r>
        <w:rPr>
          <w:rFonts w:ascii="Carlito" w:hAnsi="Carlito"/>
          <w:sz w:val="20"/>
        </w:rPr>
        <w:t>равную доступность и машиночитаемость;</w:t>
      </w:r>
    </w:p>
    <w:p>
      <w:pPr>
        <w:pStyle w:val="ListBullet"/>
        <w:widowControl/>
        <w:spacing w:after="50" w:line="259" w:lineRule="auto"/>
        <w:ind w:left="312" w:hanging="142"/>
      </w:pPr>
      <w:r>
        <w:rPr>
          <w:rFonts w:ascii="Carlito" w:hAnsi="Carlito"/>
          <w:sz w:val="20"/>
        </w:rPr>
        <w:t>запуск установленного законом цикла деклараций кандидатов;</w:t>
      </w:r>
    </w:p>
    <w:p>
      <w:pPr>
        <w:pStyle w:val="ListBullet"/>
        <w:widowControl/>
        <w:spacing w:after="50" w:line="259" w:lineRule="auto"/>
        <w:ind w:left="312" w:hanging="142"/>
      </w:pPr>
      <w:r>
        <w:rPr>
          <w:rFonts w:ascii="Carlito" w:hAnsi="Carlito"/>
          <w:sz w:val="20"/>
        </w:rPr>
        <w:t>сохранение версий, методик, данных и разногласий;</w:t>
      </w:r>
    </w:p>
    <w:p>
      <w:pPr>
        <w:pStyle w:val="ListBullet"/>
        <w:widowControl/>
        <w:spacing w:after="50" w:line="259" w:lineRule="auto"/>
        <w:ind w:left="312" w:hanging="142"/>
      </w:pPr>
      <w:r>
        <w:rPr>
          <w:rFonts w:ascii="Carlito" w:hAnsi="Carlito"/>
          <w:sz w:val="20"/>
        </w:rPr>
        <w:t>возможность судебной защиты целостности и процедуры.</w:t>
      </w:r>
    </w:p>
    <w:p>
      <w:pPr>
        <w:widowControl/>
        <w:spacing w:after="80" w:line="269" w:lineRule="auto"/>
      </w:pPr>
      <w:r>
        <w:rPr>
          <w:rFonts w:ascii="Carlito" w:hAnsi="Carlito"/>
          <w:i w:val="0"/>
          <w:sz w:val="21"/>
        </w:rPr>
        <w:t>Общественный мандат прямо маркируется как документ, который сам по себе:</w:t>
      </w:r>
    </w:p>
    <w:p>
      <w:pPr>
        <w:pStyle w:val="ListBullet"/>
        <w:widowControl/>
        <w:spacing w:after="50" w:line="259" w:lineRule="auto"/>
        <w:ind w:left="312" w:hanging="142"/>
      </w:pPr>
      <w:r>
        <w:rPr>
          <w:rFonts w:ascii="Carlito" w:hAnsi="Carlito"/>
          <w:sz w:val="20"/>
        </w:rPr>
        <w:t>не изменяет Конституцию и закон;</w:t>
      </w:r>
    </w:p>
    <w:p>
      <w:pPr>
        <w:pStyle w:val="ListBullet"/>
        <w:widowControl/>
        <w:spacing w:after="50" w:line="259" w:lineRule="auto"/>
        <w:ind w:left="312" w:hanging="142"/>
      </w:pPr>
      <w:r>
        <w:rPr>
          <w:rFonts w:ascii="Carlito" w:hAnsi="Carlito"/>
          <w:sz w:val="20"/>
        </w:rPr>
        <w:t>не расширяет полномочия должностного лица;</w:t>
      </w:r>
    </w:p>
    <w:p>
      <w:pPr>
        <w:pStyle w:val="ListBullet"/>
        <w:widowControl/>
        <w:spacing w:after="50" w:line="259" w:lineRule="auto"/>
        <w:ind w:left="312" w:hanging="142"/>
      </w:pPr>
      <w:r>
        <w:rPr>
          <w:rFonts w:ascii="Carlito" w:hAnsi="Carlito"/>
          <w:sz w:val="20"/>
        </w:rPr>
        <w:t>не санкционирует расходование средств;</w:t>
      </w:r>
    </w:p>
    <w:p>
      <w:pPr>
        <w:pStyle w:val="ListBullet"/>
        <w:widowControl/>
        <w:spacing w:after="50" w:line="259" w:lineRule="auto"/>
        <w:ind w:left="312" w:hanging="142"/>
      </w:pPr>
      <w:r>
        <w:rPr>
          <w:rFonts w:ascii="Carlito" w:hAnsi="Carlito"/>
          <w:sz w:val="20"/>
        </w:rPr>
        <w:t>не отменяет основные права;</w:t>
      </w:r>
    </w:p>
    <w:p>
      <w:pPr>
        <w:pStyle w:val="ListBullet"/>
        <w:widowControl/>
        <w:spacing w:after="50" w:line="259" w:lineRule="auto"/>
        <w:ind w:left="312" w:hanging="142"/>
      </w:pPr>
      <w:r>
        <w:rPr>
          <w:rFonts w:ascii="Carlito" w:hAnsi="Carlito"/>
          <w:sz w:val="20"/>
        </w:rPr>
        <w:t>не предписывает депутату, суду, региону или муниципалитету конкретное решение;</w:t>
      </w:r>
    </w:p>
    <w:p>
      <w:pPr>
        <w:pStyle w:val="ListBullet"/>
        <w:widowControl/>
        <w:spacing w:after="50" w:line="259" w:lineRule="auto"/>
        <w:ind w:left="312" w:hanging="142"/>
      </w:pPr>
      <w:r>
        <w:rPr>
          <w:rFonts w:ascii="Carlito" w:hAnsi="Carlito"/>
          <w:sz w:val="20"/>
        </w:rPr>
        <w:t>не создаёт прямого требования к гражданину или частному лицу;</w:t>
      </w:r>
    </w:p>
    <w:p>
      <w:pPr>
        <w:pStyle w:val="ListBullet"/>
        <w:widowControl/>
        <w:spacing w:after="50" w:line="259" w:lineRule="auto"/>
        <w:ind w:left="312" w:hanging="142"/>
      </w:pPr>
      <w:r>
        <w:rPr>
          <w:rFonts w:ascii="Carlito" w:hAnsi="Carlito"/>
          <w:sz w:val="20"/>
        </w:rPr>
        <w:t>не является основанием для специального наказания за политическое неисполнение.</w:t>
      </w:r>
    </w:p>
    <w:p>
      <w:pPr>
        <w:pStyle w:val="Heading2"/>
        <w:keepNext/>
        <w:widowControl/>
      </w:pPr>
      <w:r>
        <w:t>4. Обязательность публичного отношения кандидатов</w:t>
      </w:r>
    </w:p>
    <w:p>
      <w:pPr>
        <w:widowControl/>
      </w:pPr>
      <w:r>
        <w:t>Каждый зарегистрированный кандидат получает одинаковый срок, единую сертифицированную версию общественного мандата, минимальную форму и бесплатный нейтральный справочный сервис. Универсальная процедурная обязанность состоит в публичном выборе одной из двух форм: представить полную декларацию по утверждённым пунктам общественного поручения либо подать подписанный отказ от участия в декларационном контуре.</w:t>
      </w:r>
    </w:p>
    <w:p>
      <w:pPr>
        <w:widowControl/>
      </w:pPr>
      <w:r>
        <w:t>Универсальный режим различает регистрацию кандидата, исполнение процедурной обязанности публично отнестись к мандату и статус присоединения к общественному мандату. Полная декларация и соблюдение ограниченного предела непринятия образуют статус «присоединился к общественному мандату». Подписанный отказ либо непредставление надлежащего ответа фиксируются раздельно и публично, но сами по себе не образуют универсального основания отказа в регистрации.</w:t>
      </w:r>
    </w:p>
    <w:p>
      <w:pPr>
        <w:widowControl/>
      </w:pPr>
      <w:r>
        <w:t>Более сильное электоральное последствие допускается только при прямом, заранее установленном и отдельно проверенном конституционном основании конкретной страны. Национальный профиль обязан доказать его объективность, соразмерность, равное применение и наличие эффективной судебной защиты и не вправе представлять такое последствие как автоматическое требование универсальной Доктрины.</w:t>
      </w:r>
    </w:p>
    <w:p>
      <w:pPr>
        <w:widowControl/>
      </w:pPr>
      <w:r>
        <w:t>Минимальная доля безусловного принятия считается по формальной грамматике главы XXI. Ответ с условием, исключением, альтернативой цели, охвата, срока или адресата не учитывается как безусловное принятие независимо от выбранной кандидатом политической маркировки.</w:t>
      </w:r>
    </w:p>
    <w:p>
      <w:pPr>
        <w:widowControl/>
      </w:pPr>
      <w:r>
        <w:t>Допустимое условие должно быть измеримым, внешним для кандидата и иметь заранее установленного определителя наступления. Альтернатива всегда показывается отдельно и сопровождается сравнением цели, охвата, срока, правового эффекта, стоимости и распределительных последствий.</w:t>
      </w:r>
    </w:p>
    <w:p>
      <w:pPr>
        <w:widowControl/>
      </w:pPr>
      <w:r>
        <w:t>Если основные кандидаты коллективно не представили декларации либо не присоединились к мандату, выборы продолжаются. Официальная система не заменяет кандидатов, не выводит их позиции из иных материалов и не создаёт фиктивное согласие; она публикует факт бойкота в нейтральной форме.</w:t>
      </w:r>
    </w:p>
    <w:p>
      <w:pPr>
        <w:pStyle w:val="Heading2"/>
        <w:keepNext/>
        <w:widowControl/>
      </w:pPr>
      <w:r>
        <w:t>5. Декларация кандидата как юридически значимый акт</w:t>
      </w:r>
    </w:p>
    <w:p>
      <w:pPr>
        <w:widowControl/>
        <w:spacing w:after="80" w:line="269" w:lineRule="auto"/>
      </w:pPr>
      <w:r>
        <w:t>Декларация является односторонним публичным политико-правовым актом кандидата в установленной законом процедуре. Источником последующих собственных обязанностей является декларация в сочетании с законом, а не предположение, что избрание отдельно ратифицировало каждый пункт. Декларация не создаёт договорного права на гарантированный общественный результат.</w:t>
      </w:r>
    </w:p>
    <w:p>
      <w:pPr>
        <w:widowControl/>
        <w:spacing w:after="80" w:line="269" w:lineRule="auto"/>
      </w:pPr>
      <w:r>
        <w:rPr>
          <w:rFonts w:ascii="Carlito" w:hAnsi="Carlito"/>
          <w:i w:val="0"/>
          <w:sz w:val="21"/>
        </w:rPr>
        <w:t>Для принятого положения кандидат указывает:</w:t>
      </w:r>
    </w:p>
    <w:p>
      <w:pPr>
        <w:pStyle w:val="ListBullet"/>
        <w:widowControl/>
        <w:spacing w:after="50" w:line="259" w:lineRule="auto"/>
        <w:ind w:left="312" w:hanging="142"/>
      </w:pPr>
      <w:r>
        <w:rPr>
          <w:rFonts w:ascii="Carlito" w:hAnsi="Carlito"/>
          <w:sz w:val="20"/>
        </w:rPr>
        <w:t>принимаемую цель и редакцию;</w:t>
      </w:r>
    </w:p>
    <w:p>
      <w:pPr>
        <w:pStyle w:val="ListBullet"/>
        <w:widowControl/>
        <w:spacing w:after="50" w:line="259" w:lineRule="auto"/>
        <w:ind w:left="312" w:hanging="142"/>
      </w:pPr>
      <w:r>
        <w:rPr>
          <w:rFonts w:ascii="Carlito" w:hAnsi="Carlito"/>
          <w:sz w:val="20"/>
        </w:rPr>
        <w:t>собственные полномочия и действия;</w:t>
      </w:r>
    </w:p>
    <w:p>
      <w:pPr>
        <w:pStyle w:val="ListBullet"/>
        <w:widowControl/>
        <w:spacing w:after="50" w:line="259" w:lineRule="auto"/>
        <w:ind w:left="312" w:hanging="142"/>
      </w:pPr>
      <w:r>
        <w:rPr>
          <w:rFonts w:ascii="Carlito" w:hAnsi="Carlito"/>
          <w:sz w:val="20"/>
        </w:rPr>
        <w:t>ключевые зависимости от иных органов и внешней среды;</w:t>
      </w:r>
    </w:p>
    <w:p>
      <w:pPr>
        <w:pStyle w:val="ListBullet"/>
        <w:widowControl/>
        <w:spacing w:after="50" w:line="259" w:lineRule="auto"/>
        <w:ind w:left="312" w:hanging="142"/>
      </w:pPr>
      <w:r>
        <w:rPr>
          <w:rFonts w:ascii="Carlito" w:hAnsi="Carlito"/>
          <w:sz w:val="20"/>
        </w:rPr>
        <w:t>предварительный способ реализации без ограничения права последующего выбора лучшего средства;</w:t>
      </w:r>
    </w:p>
    <w:p>
      <w:pPr>
        <w:pStyle w:val="ListBullet"/>
        <w:widowControl/>
        <w:spacing w:after="50" w:line="259" w:lineRule="auto"/>
        <w:ind w:left="312" w:hanging="142"/>
      </w:pPr>
      <w:r>
        <w:rPr>
          <w:rFonts w:ascii="Carlito" w:hAnsi="Carlito"/>
          <w:sz w:val="20"/>
        </w:rPr>
        <w:t>предполагаемые сроки и первый шаг;</w:t>
      </w:r>
    </w:p>
    <w:p>
      <w:pPr>
        <w:pStyle w:val="ListBullet"/>
        <w:widowControl/>
        <w:spacing w:after="50" w:line="259" w:lineRule="auto"/>
        <w:ind w:left="312" w:hanging="142"/>
      </w:pPr>
      <w:r>
        <w:rPr>
          <w:rFonts w:ascii="Carlito" w:hAnsi="Carlito"/>
          <w:sz w:val="20"/>
        </w:rPr>
        <w:t>базовые данные и основной показатель;</w:t>
      </w:r>
    </w:p>
    <w:p>
      <w:pPr>
        <w:pStyle w:val="ListBullet"/>
        <w:widowControl/>
        <w:spacing w:after="50" w:line="259" w:lineRule="auto"/>
        <w:ind w:left="312" w:hanging="142"/>
      </w:pPr>
      <w:r>
        <w:rPr>
          <w:rFonts w:ascii="Carlito" w:hAnsi="Carlito"/>
          <w:sz w:val="20"/>
        </w:rPr>
        <w:t>условия, если позиция условная;</w:t>
      </w:r>
    </w:p>
    <w:p>
      <w:pPr>
        <w:pStyle w:val="ListBullet"/>
        <w:widowControl/>
        <w:spacing w:after="50" w:line="259" w:lineRule="auto"/>
        <w:ind w:left="312" w:hanging="142"/>
      </w:pPr>
      <w:r>
        <w:rPr>
          <w:rFonts w:ascii="Carlito" w:hAnsi="Carlito"/>
          <w:sz w:val="20"/>
        </w:rPr>
        <w:t>существенные риски и бюджетные предпосылки.</w:t>
      </w:r>
    </w:p>
    <w:p>
      <w:pPr>
        <w:widowControl/>
        <w:spacing w:after="80" w:line="269" w:lineRule="auto"/>
      </w:pPr>
      <w:r>
        <w:rPr>
          <w:rFonts w:ascii="Carlito" w:hAnsi="Carlito"/>
          <w:i w:val="0"/>
          <w:sz w:val="21"/>
        </w:rPr>
        <w:t>Полный текст декларации имеет приоритет над краткой карточкой. Кандидат вправе исправить фактическую или техническую ошибку до установленного срока; все версии сохраняются. После окончания срока содержательное изменение допускается только с явной маркировкой, датой и объяснением.</w:t>
      </w:r>
    </w:p>
    <w:p>
      <w:pPr>
        <w:pStyle w:val="Heading2"/>
        <w:keepNext/>
        <w:widowControl/>
      </w:pPr>
      <w:r>
        <w:t>6. Последствия избрания</w:t>
      </w:r>
    </w:p>
    <w:p>
      <w:pPr>
        <w:widowControl/>
      </w:pPr>
      <w:r>
        <w:t>Избрание кандидата не означает отдельного одобрения избирателями каждого принятого пункта. После вступления в должность применяются только обязанности, прямо предусмотренные законом, содержащиеся в собственной декларации и относящиеся к компетенции избранного субъекта.</w:t>
      </w:r>
    </w:p>
    <w:p>
      <w:pPr>
        <w:widowControl/>
      </w:pPr>
      <w:r>
        <w:t>Исчерпывающая типология юстициабельных собственных действий включает: публикацию плана; принятие и опубликование мотивированного решения; внесение проекта или предложения в компетентный орган; проведение прямо предусмотренной консультации; раскрытие исходных данных, зависимостей, рисков и изменений; исправление доказанной фактической ошибки; участие в установленном мониторинге.</w:t>
      </w:r>
    </w:p>
    <w:p>
      <w:pPr>
        <w:widowControl/>
      </w:pPr>
      <w:r>
        <w:t>Суд вправе обязать совершить процессуальный акт, принять решение и раскрыть мотивировку, но не вправе предписывать содержание решения там, где Конституция сохраняет политическое усмотрение. Не возникают обязанности парламента принять закон, депутата проголосовать, суда решить дело определённым образом, региона профинансировать чужую меру, рынка достичь показателя или иностранного субъекта совершить действие.</w:t>
      </w:r>
    </w:p>
    <w:p>
      <w:pPr>
        <w:widowControl/>
      </w:pPr>
      <w:r>
        <w:t>Для каждого действия национальный закон заранее определяет срок, надлежащего ответчика, доказательство исполнения и исполнимое средство защиты, не устанавливающее политический результат.</w:t>
      </w:r>
    </w:p>
    <w:p>
      <w:pPr>
        <w:pStyle w:val="Heading2"/>
        <w:keepNext/>
        <w:widowControl/>
      </w:pPr>
      <w:r>
        <w:t>7. Виды обязательств в реестре реализации</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51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Вид</w:t>
            </w:r>
          </w:p>
        </w:tc>
        <w:tc>
          <w:tcPr>
            <w:tcW w:type="dxa" w:w="259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Содержание</w:t>
            </w:r>
          </w:p>
        </w:tc>
        <w:tc>
          <w:tcPr>
            <w:tcW w:type="dxa" w:w="1835999"/>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Средство контроля</w:t>
            </w:r>
          </w:p>
        </w:tc>
      </w:tr>
      <w:tr>
        <w:trPr>
          <w:cantSplit/>
          <w:cantSplit/>
        </w:trPr>
        <w:tc>
          <w:tcPr>
            <w:tcW w:type="dxa" w:w="151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Обязанность первоначального плана</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Опубликовать компетенции, действия, зависимости, ресурсы, сроки, показатели и риски.</w:t>
            </w:r>
          </w:p>
        </w:tc>
        <w:tc>
          <w:tcPr>
            <w:tcW w:type="dxa" w:w="1835999"/>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Судебное понуждение к публикации и исправлению обязательных полей.</w:t>
            </w:r>
          </w:p>
        </w:tc>
      </w:tr>
      <w:tr>
        <w:trPr>
          <w:cantSplit/>
          <w:cantSplit/>
        </w:trPr>
        <w:tc>
          <w:tcPr>
            <w:tcW w:type="dxa" w:w="151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Обязанность собственного действия</w:t>
            </w:r>
          </w:p>
        </w:tc>
        <w:tc>
          <w:tcPr>
            <w:tcW w:type="dxa" w:w="259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Подготовить, внести, издать, созвать, опубликовать или организовать то, что находится под контролем адресата.</w:t>
            </w:r>
          </w:p>
        </w:tc>
        <w:tc>
          <w:tcPr>
            <w:tcW w:type="dxa" w:w="1835999"/>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Судебная проверка факта, срока и компетенции.</w:t>
            </w:r>
          </w:p>
        </w:tc>
      </w:tr>
      <w:tr>
        <w:trPr>
          <w:cantSplit/>
          <w:cantSplit/>
        </w:trPr>
        <w:tc>
          <w:tcPr>
            <w:tcW w:type="dxa" w:w="151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Обязанность собственного решения</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Принять решение, прямо предусмотренное декларацией, только если оно полностью находится в исключительной компетенции и закон допускает такое предварительное связывание.</w:t>
            </w:r>
          </w:p>
        </w:tc>
        <w:tc>
          <w:tcPr>
            <w:tcW w:type="dxa" w:w="1835999"/>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Узкая судебная проверка без подмены содержания усмотрения.</w:t>
            </w:r>
          </w:p>
        </w:tc>
      </w:tr>
      <w:tr>
        <w:trPr>
          <w:cantSplit/>
          <w:cantSplit/>
        </w:trPr>
        <w:tc>
          <w:tcPr>
            <w:tcW w:type="dxa" w:w="151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Обязанность координации</w:t>
            </w:r>
          </w:p>
        </w:tc>
        <w:tc>
          <w:tcPr>
            <w:tcW w:type="dxa" w:w="259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Обратиться к независимому органу, провести переговоры, представить варианты и ответить на позицию другого уровня.</w:t>
            </w:r>
          </w:p>
        </w:tc>
        <w:tc>
          <w:tcPr>
            <w:tcW w:type="dxa" w:w="1835999"/>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Проверка совершённых действий; результат координации не гарантируется.</w:t>
            </w:r>
          </w:p>
        </w:tc>
      </w:tr>
      <w:tr>
        <w:trPr>
          <w:cantSplit/>
          <w:cantSplit/>
        </w:trPr>
        <w:tc>
          <w:tcPr>
            <w:tcW w:type="dxa" w:w="151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Обязанность данных и объяснения</w:t>
            </w:r>
          </w:p>
        </w:tc>
        <w:tc>
          <w:tcPr>
            <w:tcW w:type="dxa" w:w="259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Публиковать исходные данные, изменения методики, причины отклонения и альтернативы.</w:t>
            </w:r>
          </w:p>
        </w:tc>
        <w:tc>
          <w:tcPr>
            <w:tcW w:type="dxa" w:w="1835999"/>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Судебная и аудиторская проверка достоверности и полноты.</w:t>
            </w:r>
          </w:p>
        </w:tc>
      </w:tr>
      <w:tr>
        <w:trPr>
          <w:cantSplit/>
          <w:cantSplit/>
        </w:trPr>
        <w:tc>
          <w:tcPr>
            <w:tcW w:type="dxa" w:w="151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Политическое обязательство результата</w:t>
            </w:r>
          </w:p>
        </w:tc>
        <w:tc>
          <w:tcPr>
            <w:tcW w:type="dxa" w:w="259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Добиваться заявленной общественной цели и не подменять её процессом.</w:t>
            </w:r>
          </w:p>
        </w:tc>
        <w:tc>
          <w:tcPr>
            <w:tcW w:type="dxa" w:w="1835999"/>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Многомерная независимая оценка, парламент, медиа и следующие выборы; без специальной юридической санкции.</w:t>
            </w:r>
          </w:p>
        </w:tc>
      </w:tr>
    </w:tbl>
    <w:p>
      <w:pPr>
        <w:widowControl/>
        <w:spacing w:after="80" w:line="269" w:lineRule="auto"/>
      </w:pPr>
      <w:r>
        <w:rPr>
          <w:rFonts w:ascii="Carlito" w:hAnsi="Carlito"/>
          <w:i w:val="0"/>
          <w:sz w:val="21"/>
        </w:rPr>
        <w:t>Обязанность собственного решения применяется ограниченно. Она не используется для сложных вопросов, требующих нового закона, бюджета, конкурса, оценки безопасности, прав третьих лиц или изменяемого профессионального усмотрения.</w:t>
      </w:r>
    </w:p>
    <w:p>
      <w:pPr>
        <w:pStyle w:val="Heading2"/>
        <w:keepNext/>
        <w:widowControl/>
      </w:pPr>
      <w:r>
        <w:t>8. Компетенция, причинность и зависимости</w:t>
      </w:r>
    </w:p>
    <w:p>
      <w:pPr>
        <w:widowControl/>
        <w:spacing w:after="80" w:line="269" w:lineRule="auto"/>
      </w:pPr>
      <w:r>
        <w:rPr>
          <w:rFonts w:ascii="Carlito" w:hAnsi="Carlito"/>
          <w:i w:val="0"/>
          <w:sz w:val="21"/>
        </w:rPr>
        <w:t>До общественного выбора каждому пункту присваивается не класс обязательности, а карта компетенции и причинности:</w:t>
      </w:r>
    </w:p>
    <w:p>
      <w:pPr>
        <w:pStyle w:val="ListBullet"/>
        <w:widowControl/>
        <w:spacing w:after="50" w:line="259" w:lineRule="auto"/>
        <w:ind w:left="312" w:hanging="142"/>
      </w:pPr>
      <w:r>
        <w:rPr>
          <w:rFonts w:ascii="Carlito" w:hAnsi="Carlito"/>
          <w:sz w:val="20"/>
        </w:rPr>
        <w:t>исключительная компетенция адресата;</w:t>
      </w:r>
    </w:p>
    <w:p>
      <w:pPr>
        <w:pStyle w:val="ListBullet"/>
        <w:widowControl/>
        <w:spacing w:after="50" w:line="259" w:lineRule="auto"/>
        <w:ind w:left="312" w:hanging="142"/>
      </w:pPr>
      <w:r>
        <w:rPr>
          <w:rFonts w:ascii="Carlito" w:hAnsi="Carlito"/>
          <w:sz w:val="20"/>
        </w:rPr>
        <w:t>совместная компетенция нескольких органов;</w:t>
      </w:r>
    </w:p>
    <w:p>
      <w:pPr>
        <w:pStyle w:val="ListBullet"/>
        <w:widowControl/>
        <w:spacing w:after="50" w:line="259" w:lineRule="auto"/>
        <w:ind w:left="312" w:hanging="142"/>
      </w:pPr>
      <w:r>
        <w:rPr>
          <w:rFonts w:ascii="Carlito" w:hAnsi="Carlito"/>
          <w:sz w:val="20"/>
        </w:rPr>
        <w:t>зависимость от независимого конституционного органа;</w:t>
      </w:r>
    </w:p>
    <w:p>
      <w:pPr>
        <w:pStyle w:val="ListBullet"/>
        <w:widowControl/>
        <w:spacing w:after="50" w:line="259" w:lineRule="auto"/>
        <w:ind w:left="312" w:hanging="142"/>
      </w:pPr>
      <w:r>
        <w:rPr>
          <w:rFonts w:ascii="Carlito" w:hAnsi="Carlito"/>
          <w:sz w:val="20"/>
        </w:rPr>
        <w:t>зависимость от региона или муниципалитета;</w:t>
      </w:r>
    </w:p>
    <w:p>
      <w:pPr>
        <w:pStyle w:val="ListBullet"/>
        <w:widowControl/>
        <w:spacing w:after="50" w:line="259" w:lineRule="auto"/>
        <w:ind w:left="312" w:hanging="142"/>
      </w:pPr>
      <w:r>
        <w:rPr>
          <w:rFonts w:ascii="Carlito" w:hAnsi="Carlito"/>
          <w:sz w:val="20"/>
        </w:rPr>
        <w:t>рыночная, международная, природная или иная внешняя зависимость;</w:t>
      </w:r>
    </w:p>
    <w:p>
      <w:pPr>
        <w:pStyle w:val="ListBullet"/>
        <w:widowControl/>
        <w:spacing w:after="50" w:line="259" w:lineRule="auto"/>
        <w:ind w:left="312" w:hanging="142"/>
      </w:pPr>
      <w:r>
        <w:rPr>
          <w:rFonts w:ascii="Carlito" w:hAnsi="Carlito"/>
          <w:sz w:val="20"/>
        </w:rPr>
        <w:t>контролируемые действия;</w:t>
      </w:r>
    </w:p>
    <w:p>
      <w:pPr>
        <w:pStyle w:val="ListBullet"/>
        <w:widowControl/>
        <w:spacing w:after="50" w:line="259" w:lineRule="auto"/>
        <w:ind w:left="312" w:hanging="142"/>
      </w:pPr>
      <w:r>
        <w:rPr>
          <w:rFonts w:ascii="Carlito" w:hAnsi="Carlito"/>
          <w:sz w:val="20"/>
        </w:rPr>
        <w:t>совместно контролируемые действия;</w:t>
      </w:r>
    </w:p>
    <w:p>
      <w:pPr>
        <w:pStyle w:val="ListBullet"/>
        <w:widowControl/>
        <w:spacing w:after="50" w:line="259" w:lineRule="auto"/>
        <w:ind w:left="312" w:hanging="142"/>
      </w:pPr>
      <w:r>
        <w:rPr>
          <w:rFonts w:ascii="Carlito" w:hAnsi="Carlito"/>
          <w:sz w:val="20"/>
        </w:rPr>
        <w:t>неконтролируемые факторы.</w:t>
      </w:r>
    </w:p>
    <w:p>
      <w:pPr>
        <w:widowControl/>
        <w:spacing w:after="80" w:line="269" w:lineRule="auto"/>
      </w:pPr>
      <w:r>
        <w:rPr>
          <w:rFonts w:ascii="Carlito" w:hAnsi="Carlito"/>
          <w:i w:val="0"/>
          <w:sz w:val="21"/>
        </w:rPr>
        <w:t>При совместной компетенции поручение может требовать от кандидата представить собственную позицию и действия по координации, но не позволяет присвоить себе полномочия другого органа. Отсутствие одного владельца результата не устраняется искусственным назначением ведомства, не располагающего необходимым правом и ресурсом.</w:t>
      </w:r>
    </w:p>
    <w:p>
      <w:pPr>
        <w:pStyle w:val="Heading2"/>
        <w:keepNext/>
        <w:widowControl/>
      </w:pPr>
      <w:r>
        <w:t>9. Парламент, партии и свободный мандат</w:t>
      </w:r>
    </w:p>
    <w:p>
      <w:pPr>
        <w:widowControl/>
        <w:spacing w:after="80" w:line="269" w:lineRule="auto"/>
      </w:pPr>
      <w:r>
        <w:rPr>
          <w:rFonts w:ascii="Carlito" w:hAnsi="Carlito"/>
          <w:i w:val="0"/>
          <w:sz w:val="21"/>
        </w:rPr>
        <w:t>Общественное поручение не создаёт индивидуального долга депутата голосовать определённым образом. Партия и кандидат вправе публично заявлять намерения, однако ни реестр, ни оценочный орган не превращают их в судебно исполнимую инструкцию депутату.</w:t>
      </w:r>
    </w:p>
    <w:p>
      <w:pPr>
        <w:widowControl/>
        <w:spacing w:after="80" w:line="269" w:lineRule="auto"/>
      </w:pPr>
      <w:r>
        <w:rPr>
          <w:rFonts w:ascii="Carlito" w:hAnsi="Carlito"/>
          <w:i w:val="0"/>
          <w:sz w:val="21"/>
        </w:rPr>
        <w:t>Национальное право может установить для парламента или его органов процедурные обязанности:</w:t>
      </w:r>
    </w:p>
    <w:p>
      <w:pPr>
        <w:pStyle w:val="ListBullet"/>
        <w:widowControl/>
        <w:spacing w:after="50" w:line="259" w:lineRule="auto"/>
        <w:ind w:left="312" w:hanging="142"/>
      </w:pPr>
      <w:r>
        <w:rPr>
          <w:rFonts w:ascii="Carlito" w:hAnsi="Carlito"/>
          <w:sz w:val="20"/>
        </w:rPr>
        <w:t>официально принять к рассмотрению предложение, достигшее установленного статуса;</w:t>
      </w:r>
    </w:p>
    <w:p>
      <w:pPr>
        <w:pStyle w:val="ListBullet"/>
        <w:widowControl/>
        <w:spacing w:after="50" w:line="259" w:lineRule="auto"/>
        <w:ind w:left="312" w:hanging="142"/>
      </w:pPr>
      <w:r>
        <w:rPr>
          <w:rFonts w:ascii="Carlito" w:hAnsi="Carlito"/>
          <w:sz w:val="20"/>
        </w:rPr>
        <w:t>провести слушание или направить вопрос в компетентный комитет;</w:t>
      </w:r>
    </w:p>
    <w:p>
      <w:pPr>
        <w:pStyle w:val="ListBullet"/>
        <w:widowControl/>
        <w:spacing w:after="50" w:line="259" w:lineRule="auto"/>
        <w:ind w:left="312" w:hanging="142"/>
      </w:pPr>
      <w:r>
        <w:rPr>
          <w:rFonts w:ascii="Carlito" w:hAnsi="Carlito"/>
          <w:sz w:val="20"/>
        </w:rPr>
        <w:t>получить финансовое и правовое заключение;</w:t>
      </w:r>
    </w:p>
    <w:p>
      <w:pPr>
        <w:pStyle w:val="ListBullet"/>
        <w:widowControl/>
        <w:spacing w:after="50" w:line="259" w:lineRule="auto"/>
        <w:ind w:left="312" w:hanging="142"/>
      </w:pPr>
      <w:r>
        <w:rPr>
          <w:rFonts w:ascii="Carlito" w:hAnsi="Carlito"/>
          <w:sz w:val="20"/>
        </w:rPr>
        <w:t>опубликовать решение и мотивировку;</w:t>
      </w:r>
    </w:p>
    <w:p>
      <w:pPr>
        <w:pStyle w:val="ListBullet"/>
        <w:widowControl/>
        <w:spacing w:after="50" w:line="259" w:lineRule="auto"/>
        <w:ind w:left="312" w:hanging="142"/>
      </w:pPr>
      <w:r>
        <w:rPr>
          <w:rFonts w:ascii="Carlito" w:hAnsi="Carlito"/>
          <w:sz w:val="20"/>
        </w:rPr>
        <w:t>обеспечить ответ меньшинства и особые мнения.</w:t>
      </w:r>
    </w:p>
    <w:p>
      <w:pPr>
        <w:widowControl/>
        <w:spacing w:after="80" w:line="269" w:lineRule="auto"/>
      </w:pPr>
      <w:r>
        <w:rPr>
          <w:rFonts w:ascii="Carlito" w:hAnsi="Carlito"/>
          <w:i w:val="0"/>
          <w:sz w:val="21"/>
        </w:rPr>
        <w:t>Парламент сохраняет право отклонить, изменить, отложить или принять предложение в пределах Конституции. Политическая цена такого решения видима, но юридическое принуждение к определённому голосу исключается.</w:t>
      </w:r>
    </w:p>
    <w:p>
      <w:pPr>
        <w:pStyle w:val="Heading2"/>
        <w:keepNext/>
        <w:widowControl/>
      </w:pPr>
      <w:r>
        <w:t>10. Бюджет и финансовая совместимость</w:t>
      </w:r>
    </w:p>
    <w:p>
      <w:pPr>
        <w:widowControl/>
        <w:spacing w:after="80" w:line="269" w:lineRule="auto"/>
      </w:pPr>
      <w:r>
        <w:rPr>
          <w:rFonts w:ascii="Carlito" w:hAnsi="Carlito"/>
          <w:i w:val="0"/>
          <w:sz w:val="21"/>
        </w:rPr>
        <w:t>Общественный мандат не является бюджетным разрешением. Стоимость и источники финансирования раскрываются до выбора в диапазоне сценариев, а окончательное решение принимается компетентными бюджетными органами.</w:t>
      </w:r>
    </w:p>
    <w:p>
      <w:pPr>
        <w:widowControl/>
        <w:spacing w:after="80" w:line="269" w:lineRule="auto"/>
      </w:pPr>
      <w:r>
        <w:rPr>
          <w:rFonts w:ascii="Carlito" w:hAnsi="Carlito"/>
          <w:i w:val="0"/>
          <w:sz w:val="21"/>
        </w:rPr>
        <w:t>Экспертиза стоимости не обладает правом исключить правомерную инициативу только потому, что она дорога или требует перераспределения. Она должна показать:</w:t>
      </w:r>
    </w:p>
    <w:p>
      <w:pPr>
        <w:pStyle w:val="ListBullet"/>
        <w:widowControl/>
        <w:spacing w:after="50" w:line="259" w:lineRule="auto"/>
        <w:ind w:left="312" w:hanging="142"/>
      </w:pPr>
      <w:r>
        <w:rPr>
          <w:rFonts w:ascii="Carlito" w:hAnsi="Carlito"/>
          <w:sz w:val="20"/>
        </w:rPr>
        <w:t>минимальный, базовый и максимальный сценарии;</w:t>
      </w:r>
    </w:p>
    <w:p>
      <w:pPr>
        <w:pStyle w:val="ListBullet"/>
        <w:widowControl/>
        <w:spacing w:after="50" w:line="259" w:lineRule="auto"/>
        <w:ind w:left="312" w:hanging="142"/>
      </w:pPr>
      <w:r>
        <w:rPr>
          <w:rFonts w:ascii="Carlito" w:hAnsi="Carlito"/>
          <w:sz w:val="20"/>
        </w:rPr>
        <w:t>альтернативную стоимость;</w:t>
      </w:r>
    </w:p>
    <w:p>
      <w:pPr>
        <w:pStyle w:val="ListBullet"/>
        <w:widowControl/>
        <w:spacing w:after="50" w:line="259" w:lineRule="auto"/>
        <w:ind w:left="312" w:hanging="142"/>
      </w:pPr>
      <w:r>
        <w:rPr>
          <w:rFonts w:ascii="Carlito" w:hAnsi="Carlito"/>
          <w:sz w:val="20"/>
        </w:rPr>
        <w:t>распределение выгод и издержек;</w:t>
      </w:r>
    </w:p>
    <w:p>
      <w:pPr>
        <w:pStyle w:val="ListBullet"/>
        <w:widowControl/>
        <w:spacing w:after="50" w:line="259" w:lineRule="auto"/>
        <w:ind w:left="312" w:hanging="142"/>
      </w:pPr>
      <w:r>
        <w:rPr>
          <w:rFonts w:ascii="Carlito" w:hAnsi="Carlito"/>
          <w:sz w:val="20"/>
        </w:rPr>
        <w:t>варианты налогов, перераспределения, заимствования или сокращения иных расходов;</w:t>
      </w:r>
    </w:p>
    <w:p>
      <w:pPr>
        <w:pStyle w:val="ListBullet"/>
        <w:widowControl/>
        <w:spacing w:after="50" w:line="259" w:lineRule="auto"/>
        <w:ind w:left="312" w:hanging="142"/>
      </w:pPr>
      <w:r>
        <w:rPr>
          <w:rFonts w:ascii="Carlito" w:hAnsi="Carlito"/>
          <w:sz w:val="20"/>
        </w:rPr>
        <w:t>риски для устойчивости бюджета и будущих поколений;</w:t>
      </w:r>
    </w:p>
    <w:p>
      <w:pPr>
        <w:pStyle w:val="ListBullet"/>
        <w:widowControl/>
        <w:spacing w:after="50" w:line="259" w:lineRule="auto"/>
        <w:ind w:left="312" w:hanging="142"/>
      </w:pPr>
      <w:r>
        <w:rPr>
          <w:rFonts w:ascii="Carlito" w:hAnsi="Carlito"/>
          <w:sz w:val="20"/>
        </w:rPr>
        <w:t>совместимость и конкуренцию с другими пунктами.</w:t>
      </w:r>
    </w:p>
    <w:p>
      <w:pPr>
        <w:widowControl/>
        <w:spacing w:after="80" w:line="269" w:lineRule="auto"/>
      </w:pPr>
      <w:r>
        <w:rPr>
          <w:rFonts w:ascii="Carlito" w:hAnsi="Carlito"/>
          <w:i w:val="0"/>
          <w:sz w:val="21"/>
        </w:rPr>
        <w:t>Если совокупность поддержанных целей финансово несовместима, политический выбор не скрывается внутри комиссии. Гражданам предоставляется раздельное ранжирование или иной заранее установленный способ определить приоритетность, а кандидат раскрывает собственную последовательность и источники. Парламент сохраняет финальное бюджетное решение.</w:t>
      </w:r>
    </w:p>
    <w:p>
      <w:pPr>
        <w:pStyle w:val="Heading2"/>
        <w:keepNext/>
        <w:widowControl/>
      </w:pPr>
      <w:r>
        <w:t>11. Уровни власти и местное самоуправление</w:t>
      </w:r>
    </w:p>
    <w:p>
      <w:pPr>
        <w:widowControl/>
        <w:spacing w:after="80" w:line="269" w:lineRule="auto"/>
      </w:pPr>
      <w:r>
        <w:rPr>
          <w:rFonts w:ascii="Carlito" w:hAnsi="Carlito"/>
          <w:i w:val="0"/>
          <w:sz w:val="21"/>
        </w:rPr>
        <w:t>Действует правило «один пункт — один основной компетентный уровень». Если цель требует совместных действий, это указывается прямо, а отдельные обязанности распределяются между уровнями только на основании их собственного права.</w:t>
      </w:r>
    </w:p>
    <w:p>
      <w:pPr>
        <w:widowControl/>
        <w:spacing w:after="80" w:line="269" w:lineRule="auto"/>
      </w:pPr>
      <w:r>
        <w:rPr>
          <w:rFonts w:ascii="Carlito" w:hAnsi="Carlito"/>
          <w:i w:val="0"/>
          <w:sz w:val="21"/>
        </w:rPr>
        <w:t>Национальное поручение не создаёт нефинансируемую обязанность региона или муниципалитета. Передача функции требует компетенции, предварительной консультации, согласованного финансирования и правового акта соответствующего уровня. Центр не вправе получать политическую выгоду от принятия цели и перекладывать расходы и ответственность вниз.</w:t>
      </w:r>
    </w:p>
    <w:p>
      <w:pPr>
        <w:pStyle w:val="Heading2"/>
        <w:keepNext/>
        <w:widowControl/>
      </w:pPr>
      <w:r>
        <w:t>12. Изменение, приостановление, замена и прекращение</w:t>
      </w:r>
    </w:p>
    <w:p>
      <w:pPr>
        <w:widowControl/>
        <w:spacing w:after="80" w:line="269" w:lineRule="auto"/>
      </w:pPr>
      <w:r>
        <w:rPr>
          <w:rFonts w:ascii="Carlito" w:hAnsi="Carlito"/>
          <w:i w:val="0"/>
          <w:sz w:val="21"/>
        </w:rPr>
        <w:t>Избранная власть вправе изменить способ или курс при существенной новой информации, изменении права, утрате компетенции, чрезвычайном обстоятельстве, бюджетном шоке либо доказанной несоразмерности первоначального решения. Такое изменение не требует разрешения специального органа и не может быть им заблокировано.</w:t>
      </w:r>
    </w:p>
    <w:p>
      <w:pPr>
        <w:widowControl/>
        <w:spacing w:after="80" w:line="269" w:lineRule="auto"/>
      </w:pPr>
      <w:r>
        <w:rPr>
          <w:rFonts w:ascii="Carlito" w:hAnsi="Carlito"/>
          <w:i w:val="0"/>
          <w:sz w:val="21"/>
        </w:rPr>
        <w:t>До изменения, а в чрезвычайном случае — незамедлительно после него, публикуются:</w:t>
      </w:r>
    </w:p>
    <w:p>
      <w:pPr>
        <w:pStyle w:val="ListBullet"/>
        <w:widowControl/>
        <w:spacing w:after="50" w:line="259" w:lineRule="auto"/>
        <w:ind w:left="312" w:hanging="142"/>
      </w:pPr>
      <w:r>
        <w:rPr>
          <w:rFonts w:ascii="Carlito" w:hAnsi="Carlito"/>
          <w:sz w:val="20"/>
        </w:rPr>
        <w:t>первоначальная и новая редакции;</w:t>
      </w:r>
    </w:p>
    <w:p>
      <w:pPr>
        <w:pStyle w:val="ListBullet"/>
        <w:widowControl/>
        <w:spacing w:after="50" w:line="259" w:lineRule="auto"/>
        <w:ind w:left="312" w:hanging="142"/>
      </w:pPr>
      <w:r>
        <w:rPr>
          <w:rFonts w:ascii="Carlito" w:hAnsi="Carlito"/>
          <w:sz w:val="20"/>
        </w:rPr>
        <w:t>факты и данные, которых не было либо которые изменились;</w:t>
      </w:r>
    </w:p>
    <w:p>
      <w:pPr>
        <w:pStyle w:val="ListBullet"/>
        <w:widowControl/>
        <w:spacing w:after="50" w:line="259" w:lineRule="auto"/>
        <w:ind w:left="312" w:hanging="142"/>
      </w:pPr>
      <w:r>
        <w:rPr>
          <w:rFonts w:ascii="Carlito" w:hAnsi="Carlito"/>
          <w:sz w:val="20"/>
        </w:rPr>
        <w:t>варианты, включая сохранение прежнего курса;</w:t>
      </w:r>
    </w:p>
    <w:p>
      <w:pPr>
        <w:pStyle w:val="ListBullet"/>
        <w:widowControl/>
        <w:spacing w:after="50" w:line="259" w:lineRule="auto"/>
        <w:ind w:left="312" w:hanging="142"/>
      </w:pPr>
      <w:r>
        <w:rPr>
          <w:rFonts w:ascii="Carlito" w:hAnsi="Carlito"/>
          <w:sz w:val="20"/>
        </w:rPr>
        <w:t>последствия для цели, срока, стоимости и затрагиваемых групп;</w:t>
      </w:r>
    </w:p>
    <w:p>
      <w:pPr>
        <w:pStyle w:val="ListBullet"/>
        <w:widowControl/>
        <w:spacing w:after="50" w:line="259" w:lineRule="auto"/>
        <w:ind w:left="312" w:hanging="142"/>
      </w:pPr>
      <w:r>
        <w:rPr>
          <w:rFonts w:ascii="Carlito" w:hAnsi="Carlito"/>
          <w:sz w:val="20"/>
        </w:rPr>
        <w:t>причина, по которой изменение считается предпочтительным;</w:t>
      </w:r>
    </w:p>
    <w:p>
      <w:pPr>
        <w:pStyle w:val="ListBullet"/>
        <w:widowControl/>
        <w:spacing w:after="50" w:line="259" w:lineRule="auto"/>
        <w:ind w:left="312" w:hanging="142"/>
      </w:pPr>
      <w:r>
        <w:rPr>
          <w:rFonts w:ascii="Carlito" w:hAnsi="Carlito"/>
          <w:sz w:val="20"/>
        </w:rPr>
        <w:t>новый план и показатели;</w:t>
      </w:r>
    </w:p>
    <w:p>
      <w:pPr>
        <w:pStyle w:val="ListBullet"/>
        <w:widowControl/>
        <w:spacing w:after="50" w:line="259" w:lineRule="auto"/>
        <w:ind w:left="312" w:hanging="142"/>
      </w:pPr>
      <w:r>
        <w:rPr>
          <w:rFonts w:ascii="Carlito" w:hAnsi="Carlito"/>
          <w:sz w:val="20"/>
        </w:rPr>
        <w:t>позиция независимых оценщиков и право власти на ответ.</w:t>
      </w:r>
    </w:p>
    <w:p>
      <w:pPr>
        <w:widowControl/>
        <w:spacing w:after="80" w:line="269" w:lineRule="auto"/>
      </w:pPr>
      <w:r>
        <w:rPr>
          <w:rFonts w:ascii="Carlito" w:hAnsi="Carlito"/>
          <w:i w:val="0"/>
          <w:sz w:val="21"/>
        </w:rPr>
        <w:t>Замена не объявляется исполнением автоматически. Оценка отдельно показывает, сохранена ли исходная цель, уменьшены ли охват или результат и почему. Приостановление имеет конечный срок; повторение одного основания учитывается совокупно.</w:t>
      </w:r>
    </w:p>
    <w:p>
      <w:pPr>
        <w:widowControl/>
        <w:spacing w:after="80" w:line="269" w:lineRule="auto"/>
      </w:pPr>
      <w:r>
        <w:rPr>
          <w:rFonts w:ascii="Carlito" w:hAnsi="Carlito"/>
          <w:i w:val="0"/>
          <w:sz w:val="21"/>
        </w:rPr>
        <w:t>Смена власти прекращает персональный режим декларации прежнего избранного субъекта, но не стирает данные и обычные действующие акты. Новый цикл не наследует политические обязательства автоматически и свободен сформировать новую повестку.</w:t>
      </w:r>
    </w:p>
    <w:p>
      <w:pPr>
        <w:pStyle w:val="Heading2"/>
        <w:keepNext/>
        <w:widowControl/>
      </w:pPr>
      <w:r>
        <w:t>13. Судебный и внесудебный контроль</w:t>
      </w:r>
    </w:p>
    <w:p>
      <w:pPr>
        <w:widowControl/>
        <w:spacing w:after="80" w:line="269" w:lineRule="auto"/>
      </w:pPr>
      <w:r>
        <w:rPr>
          <w:rFonts w:ascii="Carlito" w:hAnsi="Carlito"/>
          <w:i w:val="0"/>
          <w:sz w:val="21"/>
        </w:rPr>
        <w:t>Судебная защита распространяется на:</w:t>
      </w:r>
    </w:p>
    <w:p>
      <w:pPr>
        <w:pStyle w:val="ListBullet"/>
        <w:widowControl/>
        <w:spacing w:after="50" w:line="259" w:lineRule="auto"/>
        <w:ind w:left="312" w:hanging="142"/>
      </w:pPr>
      <w:r>
        <w:rPr>
          <w:rFonts w:ascii="Carlito" w:hAnsi="Carlito"/>
          <w:sz w:val="20"/>
        </w:rPr>
        <w:t>право участия, равенство, доступность и тайну;</w:t>
      </w:r>
    </w:p>
    <w:p>
      <w:pPr>
        <w:pStyle w:val="ListBullet"/>
        <w:widowControl/>
        <w:spacing w:after="50" w:line="259" w:lineRule="auto"/>
        <w:ind w:left="312" w:hanging="142"/>
      </w:pPr>
      <w:r>
        <w:rPr>
          <w:rFonts w:ascii="Carlito" w:hAnsi="Carlito"/>
          <w:sz w:val="20"/>
        </w:rPr>
        <w:t>соответствие инициативы компетенции и закрытым основаниям допустимости;</w:t>
      </w:r>
    </w:p>
    <w:p>
      <w:pPr>
        <w:pStyle w:val="ListBullet"/>
        <w:widowControl/>
        <w:spacing w:after="50" w:line="259" w:lineRule="auto"/>
        <w:ind w:left="312" w:hanging="142"/>
      </w:pPr>
      <w:r>
        <w:rPr>
          <w:rFonts w:ascii="Carlito" w:hAnsi="Carlito"/>
          <w:sz w:val="20"/>
        </w:rPr>
        <w:t>целостность текста, результата, реестра и данных;</w:t>
      </w:r>
    </w:p>
    <w:p>
      <w:pPr>
        <w:pStyle w:val="ListBullet"/>
        <w:widowControl/>
        <w:spacing w:after="50" w:line="259" w:lineRule="auto"/>
        <w:ind w:left="312" w:hanging="142"/>
      </w:pPr>
      <w:r>
        <w:rPr>
          <w:rFonts w:ascii="Carlito" w:hAnsi="Carlito"/>
          <w:sz w:val="20"/>
        </w:rPr>
        <w:t>соблюдение сроков декларации, плана, обязательной публикации и точно определённого собственного действия;</w:t>
      </w:r>
    </w:p>
    <w:p>
      <w:pPr>
        <w:pStyle w:val="ListBullet"/>
        <w:widowControl/>
        <w:spacing w:after="50" w:line="259" w:lineRule="auto"/>
        <w:ind w:left="312" w:hanging="142"/>
      </w:pPr>
      <w:r>
        <w:rPr>
          <w:rFonts w:ascii="Carlito" w:hAnsi="Carlito"/>
          <w:sz w:val="20"/>
        </w:rPr>
        <w:t>законность чрезвычайного ограничения;</w:t>
      </w:r>
    </w:p>
    <w:p>
      <w:pPr>
        <w:pStyle w:val="ListBullet"/>
        <w:widowControl/>
        <w:spacing w:after="50" w:line="259" w:lineRule="auto"/>
        <w:ind w:left="312" w:hanging="142"/>
      </w:pPr>
      <w:r>
        <w:rPr>
          <w:rFonts w:ascii="Carlito" w:hAnsi="Carlito"/>
          <w:sz w:val="20"/>
        </w:rPr>
        <w:t>запрет политического профилирования и повторной идентификации;</w:t>
      </w:r>
    </w:p>
    <w:p>
      <w:pPr>
        <w:pStyle w:val="ListBullet"/>
        <w:widowControl/>
        <w:spacing w:after="50" w:line="259" w:lineRule="auto"/>
        <w:ind w:left="312" w:hanging="142"/>
      </w:pPr>
      <w:r>
        <w:rPr>
          <w:rFonts w:ascii="Carlito" w:hAnsi="Carlito"/>
          <w:sz w:val="20"/>
        </w:rPr>
        <w:t>обычные правонарушения при финансировании, закупках, коррупции и фальсификации.</w:t>
      </w:r>
    </w:p>
    <w:p>
      <w:pPr>
        <w:widowControl/>
        <w:spacing w:after="80" w:line="269" w:lineRule="auto"/>
      </w:pPr>
      <w:r>
        <w:rPr>
          <w:rFonts w:ascii="Carlito" w:hAnsi="Carlito"/>
          <w:i w:val="0"/>
          <w:sz w:val="21"/>
        </w:rPr>
        <w:t>Суд не вправе:</w:t>
      </w:r>
    </w:p>
    <w:p>
      <w:pPr>
        <w:pStyle w:val="ListBullet"/>
        <w:widowControl/>
        <w:spacing w:after="50" w:line="259" w:lineRule="auto"/>
        <w:ind w:left="312" w:hanging="142"/>
      </w:pPr>
      <w:r>
        <w:rPr>
          <w:rFonts w:ascii="Carlito" w:hAnsi="Carlito"/>
          <w:sz w:val="20"/>
        </w:rPr>
        <w:t>признавать единственно правильный политический способ достижения цели;</w:t>
      </w:r>
    </w:p>
    <w:p>
      <w:pPr>
        <w:pStyle w:val="ListBullet"/>
        <w:widowControl/>
        <w:spacing w:after="50" w:line="259" w:lineRule="auto"/>
        <w:ind w:left="312" w:hanging="142"/>
      </w:pPr>
      <w:r>
        <w:rPr>
          <w:rFonts w:ascii="Carlito" w:hAnsi="Carlito"/>
          <w:sz w:val="20"/>
        </w:rPr>
        <w:t>устанавливать государственный бюджет или обязывать парламент принять закон;</w:t>
      </w:r>
    </w:p>
    <w:p>
      <w:pPr>
        <w:pStyle w:val="ListBullet"/>
        <w:widowControl/>
        <w:spacing w:after="50" w:line="259" w:lineRule="auto"/>
        <w:ind w:left="312" w:hanging="142"/>
      </w:pPr>
      <w:r>
        <w:rPr>
          <w:rFonts w:ascii="Carlito" w:hAnsi="Carlito"/>
          <w:sz w:val="20"/>
        </w:rPr>
        <w:t>оценивать голос отдельного депутата;</w:t>
      </w:r>
    </w:p>
    <w:p>
      <w:pPr>
        <w:pStyle w:val="ListBullet"/>
        <w:widowControl/>
        <w:spacing w:after="50" w:line="259" w:lineRule="auto"/>
        <w:ind w:left="312" w:hanging="142"/>
      </w:pPr>
      <w:r>
        <w:rPr>
          <w:rFonts w:ascii="Carlito" w:hAnsi="Carlito"/>
          <w:sz w:val="20"/>
        </w:rPr>
        <w:t>гарантировать рост экономики, снижение преступности или иной сложный результат;</w:t>
      </w:r>
    </w:p>
    <w:p>
      <w:pPr>
        <w:pStyle w:val="ListBullet"/>
        <w:widowControl/>
        <w:spacing w:after="50" w:line="259" w:lineRule="auto"/>
        <w:ind w:left="312" w:hanging="142"/>
      </w:pPr>
      <w:r>
        <w:rPr>
          <w:rFonts w:ascii="Carlito" w:hAnsi="Carlito"/>
          <w:sz w:val="20"/>
        </w:rPr>
        <w:t>подменять независимое профессиональное усмотрение суда, регулятора или иного органа;</w:t>
      </w:r>
    </w:p>
    <w:p>
      <w:pPr>
        <w:pStyle w:val="ListBullet"/>
        <w:widowControl/>
        <w:spacing w:after="50" w:line="259" w:lineRule="auto"/>
        <w:ind w:left="312" w:hanging="142"/>
      </w:pPr>
      <w:r>
        <w:rPr>
          <w:rFonts w:ascii="Carlito" w:hAnsi="Carlito"/>
          <w:sz w:val="20"/>
        </w:rPr>
        <w:t>присваивать общий официальный процент политического исполнения.</w:t>
      </w:r>
    </w:p>
    <w:p>
      <w:pPr>
        <w:widowControl/>
        <w:spacing w:after="80" w:line="269" w:lineRule="auto"/>
      </w:pPr>
      <w:r>
        <w:rPr>
          <w:rFonts w:ascii="Carlito" w:hAnsi="Carlito"/>
          <w:i w:val="0"/>
          <w:sz w:val="21"/>
        </w:rPr>
        <w:t>Внесудебный контроль включает процессуального омбудсмена, аудитора данных и методик, парламентский контроль, общественное наблюдение, независимые исследовательские оценки и право каждого затронутого субъекта на мотивированный ответ. Ни один из этих механизмов не обладает монополией на политическую истину.</w:t>
      </w:r>
    </w:p>
    <w:p>
      <w:pPr>
        <w:pStyle w:val="Heading3"/>
        <w:keepNext/>
        <w:widowControl/>
      </w:pPr>
      <w:r>
        <w:t>13.1. Исчерпывающие средства судебной защиты</w:t>
      </w:r>
    </w:p>
    <w:p>
      <w:pPr>
        <w:widowControl/>
      </w:pPr>
      <w:r>
        <w:t>Допустимыми средствами защиты являются: признание процедурного нарушения; обязанность опубликовать, исправить либо повторить процедуру; восстановление доступа; отмена незаконного акта; компенсация доказанного вреда; санкция за умышленную фальсификацию, сокрытие, коррупцию, дискриминацию или нарушение данных.</w:t>
      </w:r>
    </w:p>
    <w:p>
      <w:pPr>
        <w:widowControl/>
      </w:pPr>
      <w:r>
        <w:t>Запрещается выводить из одного либо совокупности процедурных нарушений автоматическое ограничение регистрации, права быть избранным, занятия должности, доступа к эфиру или иной специальный политический статус без самостоятельного состава общего права. Официальные документы не присваивают лицу единый ярлык «добросовестен» или «недобросовестен».</w:t>
      </w:r>
    </w:p>
    <w:p>
      <w:pPr>
        <w:pStyle w:val="Heading2"/>
        <w:keepNext/>
        <w:widowControl/>
      </w:pPr>
      <w:r>
        <w:t>14. Ответственность</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296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Вид ответственности</w:t>
            </w:r>
          </w:p>
        </w:tc>
        <w:tc>
          <w:tcPr>
            <w:tcW w:type="dxa" w:w="288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Основание</w:t>
            </w:r>
          </w:p>
        </w:tc>
        <w:tc>
          <w:tcPr>
            <w:tcW w:type="dxa" w:w="1728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Последствие</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Юридическая</w:t>
            </w:r>
          </w:p>
        </w:tc>
        <w:tc>
          <w:tcPr>
            <w:tcW w:type="dxa" w:w="288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Фальсификация, коррупция, сокрытие обязательных данных, нарушение точной обязанности, незаконное расходование, профилирование, дискриминация, неисполнение судебного акта.</w:t>
            </w:r>
          </w:p>
        </w:tc>
        <w:tc>
          <w:tcPr>
            <w:tcW w:type="dxa" w:w="172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Обычные гражданские, административные, дисциплинарные или уголовные меры с полными гарантиями.</w:t>
            </w:r>
          </w:p>
        </w:tc>
      </w:tr>
      <w:tr>
        <w:trPr>
          <w:cantSplit/>
          <w:cantSplit/>
        </w:trPr>
        <w:tc>
          <w:tcPr>
            <w:tcW w:type="dxa" w:w="12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Политическая</w:t>
            </w:r>
          </w:p>
        </w:tc>
        <w:tc>
          <w:tcPr>
            <w:tcW w:type="dxa" w:w="288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Недостижение цели, необоснованный выбор способа, отказ от курса, несоответствие ожиданиям, недостаточные приоритеты.</w:t>
            </w:r>
          </w:p>
        </w:tc>
        <w:tc>
          <w:tcPr>
            <w:tcW w:type="dxa" w:w="172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Парламентская дискуссия, медиа, общественная оценка и следующие выборы.</w:t>
            </w:r>
          </w:p>
        </w:tc>
      </w:tr>
      <w:tr>
        <w:trPr>
          <w:cantSplit/>
          <w:cantSplit/>
        </w:trPr>
        <w:tc>
          <w:tcPr>
            <w:tcW w:type="dxa" w:w="12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Профессиональная</w:t>
            </w:r>
          </w:p>
        </w:tc>
        <w:tc>
          <w:tcPr>
            <w:tcW w:type="dxa" w:w="288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Грубая небрежность, скрытый конфликт, нарушение стандарта аудита или экспертизы.</w:t>
            </w:r>
          </w:p>
        </w:tc>
        <w:tc>
          <w:tcPr>
            <w:tcW w:type="dxa" w:w="172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Отвод, прекращение контракта, профессиональная или обычная правовая ответственность.</w:t>
            </w:r>
          </w:p>
        </w:tc>
      </w:tr>
      <w:tr>
        <w:trPr>
          <w:cantSplit/>
          <w:cantSplit/>
        </w:trPr>
        <w:tc>
          <w:tcPr>
            <w:tcW w:type="dxa" w:w="12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Институциональная</w:t>
            </w:r>
          </w:p>
        </w:tc>
        <w:tc>
          <w:tcPr>
            <w:tcW w:type="dxa" w:w="288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Системный провал процедуры или пилота.</w:t>
            </w:r>
          </w:p>
        </w:tc>
        <w:tc>
          <w:tcPr>
            <w:tcW w:type="dxa" w:w="172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Повтор этапа, прекращение режима, пересмотр дизайна или отказ от масштабирования.</w:t>
            </w:r>
          </w:p>
        </w:tc>
      </w:tr>
    </w:tbl>
    <w:p>
      <w:pPr>
        <w:widowControl/>
        <w:spacing w:after="80" w:line="269" w:lineRule="auto"/>
      </w:pPr>
      <w:r>
        <w:t>Специальные штрафы, дисквалификация, ограничение регистрации или иные особые санкции за содержательное неисполнение политического обещания исключаются. Процедурный статус не переносится в политические права автоматически. Избиратели сохраняют право повторно избрать лицо, зная полную историю его решений и результатов.</w:t>
      </w:r>
    </w:p>
    <w:p>
      <w:pPr>
        <w:pStyle w:val="Heading2"/>
        <w:keepNext/>
        <w:widowControl/>
      </w:pPr>
      <w:r>
        <w:t>15. Почему модель не является консультацией</w:t>
      </w:r>
    </w:p>
    <w:p>
      <w:pPr>
        <w:widowControl/>
        <w:spacing w:after="80" w:line="269" w:lineRule="auto"/>
      </w:pPr>
      <w:r>
        <w:rPr>
          <w:rFonts w:ascii="Carlito" w:hAnsi="Carlito"/>
          <w:i w:val="0"/>
          <w:sz w:val="21"/>
        </w:rPr>
        <w:t>Модель сохраняет обязательную природу, поскольку после утверждения поручения ни кандидат, ни избранная власть не могут бесследно его игнорировать. В установленном правовом режиме возникают конкретные последствия:</w:t>
      </w:r>
    </w:p>
    <w:p>
      <w:pPr>
        <w:widowControl/>
        <w:spacing w:after="50" w:line="259" w:lineRule="auto"/>
        <w:ind w:left="408" w:hanging="238"/>
      </w:pPr>
      <w:r>
        <w:rPr>
          <w:rFonts w:ascii="Carlito" w:hAnsi="Carlito"/>
          <w:b/>
          <w:sz w:val="20"/>
        </w:rPr>
        <w:t xml:space="preserve">1. </w:t>
      </w:r>
      <w:r>
        <w:rPr>
          <w:rFonts w:ascii="Carlito" w:hAnsi="Carlito"/>
          <w:sz w:val="20"/>
        </w:rPr>
        <w:t>кандидат обязан публично отнестись ко всем пунктам;</w:t>
      </w:r>
    </w:p>
    <w:p>
      <w:pPr>
        <w:widowControl/>
        <w:spacing w:after="50" w:line="259" w:lineRule="auto"/>
        <w:ind w:left="408" w:hanging="238"/>
      </w:pPr>
      <w:r>
        <w:rPr>
          <w:rFonts w:ascii="Carlito" w:hAnsi="Carlito"/>
          <w:b/>
          <w:sz w:val="20"/>
        </w:rPr>
        <w:t xml:space="preserve">2. </w:t>
      </w:r>
      <w:r>
        <w:rPr>
          <w:rFonts w:ascii="Carlito" w:hAnsi="Carlito"/>
          <w:sz w:val="20"/>
        </w:rPr>
        <w:t>действует ограниченный предел отказа в полном либо переходном режиме;</w:t>
      </w:r>
    </w:p>
    <w:p>
      <w:pPr>
        <w:widowControl/>
        <w:spacing w:after="50" w:line="259" w:lineRule="auto"/>
        <w:ind w:left="408" w:hanging="238"/>
      </w:pPr>
      <w:r>
        <w:rPr>
          <w:rFonts w:ascii="Carlito" w:hAnsi="Carlito"/>
          <w:b/>
          <w:sz w:val="20"/>
        </w:rPr>
        <w:t xml:space="preserve">3. </w:t>
      </w:r>
      <w:r>
        <w:rPr>
          <w:rFonts w:ascii="Carlito" w:hAnsi="Carlito"/>
          <w:sz w:val="20"/>
        </w:rPr>
        <w:t>позиция публикуется в сопоставимом и неизменяемом виде;</w:t>
      </w:r>
    </w:p>
    <w:p>
      <w:pPr>
        <w:widowControl/>
        <w:spacing w:after="50" w:line="259" w:lineRule="auto"/>
        <w:ind w:left="408" w:hanging="238"/>
      </w:pPr>
      <w:r>
        <w:rPr>
          <w:rFonts w:ascii="Carlito" w:hAnsi="Carlito"/>
          <w:b/>
          <w:sz w:val="20"/>
        </w:rPr>
        <w:t xml:space="preserve">4. </w:t>
      </w:r>
      <w:r>
        <w:rPr>
          <w:rFonts w:ascii="Carlito" w:hAnsi="Carlito"/>
          <w:sz w:val="20"/>
        </w:rPr>
        <w:t>после избрания принятые положения автоматически входят в реестр;</w:t>
      </w:r>
    </w:p>
    <w:p>
      <w:pPr>
        <w:widowControl/>
        <w:spacing w:after="50" w:line="259" w:lineRule="auto"/>
        <w:ind w:left="408" w:hanging="238"/>
      </w:pPr>
      <w:r>
        <w:rPr>
          <w:rFonts w:ascii="Carlito" w:hAnsi="Carlito"/>
          <w:b/>
          <w:sz w:val="20"/>
        </w:rPr>
        <w:t xml:space="preserve">5. </w:t>
      </w:r>
      <w:r>
        <w:rPr>
          <w:rFonts w:ascii="Carlito" w:hAnsi="Carlito"/>
          <w:sz w:val="20"/>
        </w:rPr>
        <w:t>в установленные сроки публикуется план и совершаются собственные действия;</w:t>
      </w:r>
    </w:p>
    <w:p>
      <w:pPr>
        <w:widowControl/>
        <w:spacing w:after="50" w:line="259" w:lineRule="auto"/>
        <w:ind w:left="408" w:hanging="238"/>
      </w:pPr>
      <w:r>
        <w:rPr>
          <w:rFonts w:ascii="Carlito" w:hAnsi="Carlito"/>
          <w:b/>
          <w:sz w:val="20"/>
        </w:rPr>
        <w:t xml:space="preserve">6. </w:t>
      </w:r>
      <w:r>
        <w:rPr>
          <w:rFonts w:ascii="Carlito" w:hAnsi="Carlito"/>
          <w:sz w:val="20"/>
        </w:rPr>
        <w:t>обязательны исходные данные, изменения методик и мотивировка отклонений;</w:t>
      </w:r>
    </w:p>
    <w:p>
      <w:pPr>
        <w:widowControl/>
        <w:spacing w:after="50" w:line="259" w:lineRule="auto"/>
        <w:ind w:left="408" w:hanging="238"/>
      </w:pPr>
      <w:r>
        <w:rPr>
          <w:rFonts w:ascii="Carlito" w:hAnsi="Carlito"/>
          <w:b/>
          <w:sz w:val="20"/>
        </w:rPr>
        <w:t xml:space="preserve">7. </w:t>
      </w:r>
      <w:r>
        <w:rPr>
          <w:rFonts w:ascii="Carlito" w:hAnsi="Carlito"/>
          <w:sz w:val="20"/>
        </w:rPr>
        <w:t>проводится независимый многомерный мониторинг;</w:t>
      </w:r>
    </w:p>
    <w:p>
      <w:pPr>
        <w:widowControl/>
        <w:spacing w:after="50" w:line="259" w:lineRule="auto"/>
        <w:ind w:left="408" w:hanging="238"/>
      </w:pPr>
      <w:r>
        <w:rPr>
          <w:rFonts w:ascii="Carlito" w:hAnsi="Carlito"/>
          <w:b/>
          <w:sz w:val="20"/>
        </w:rPr>
        <w:t xml:space="preserve">8. </w:t>
      </w:r>
      <w:r>
        <w:rPr>
          <w:rFonts w:ascii="Carlito" w:hAnsi="Carlito"/>
          <w:sz w:val="20"/>
        </w:rPr>
        <w:t>конкретные процессуальные нарушения подлежат юридической защите;</w:t>
      </w:r>
    </w:p>
    <w:p>
      <w:pPr>
        <w:widowControl/>
        <w:spacing w:after="50" w:line="259" w:lineRule="auto"/>
        <w:ind w:left="408" w:hanging="238"/>
      </w:pPr>
      <w:r>
        <w:rPr>
          <w:rFonts w:ascii="Carlito" w:hAnsi="Carlito"/>
          <w:b/>
          <w:sz w:val="20"/>
        </w:rPr>
        <w:t xml:space="preserve">9. </w:t>
      </w:r>
      <w:r>
        <w:rPr>
          <w:rFonts w:ascii="Carlito" w:hAnsi="Carlito"/>
          <w:sz w:val="20"/>
        </w:rPr>
        <w:t>история сохраняется для парламента, медиа, общества и следующих выборов.</w:t>
      </w:r>
    </w:p>
    <w:p>
      <w:pPr>
        <w:widowControl/>
        <w:spacing w:after="80" w:line="269" w:lineRule="auto"/>
      </w:pPr>
      <w:r>
        <w:rPr>
          <w:rFonts w:ascii="Carlito" w:hAnsi="Carlito"/>
          <w:i w:val="0"/>
          <w:sz w:val="21"/>
        </w:rPr>
        <w:t>Таким образом, обязательность сосредоточена там, где она правомерна и исполнима: в публичной позиции, собственных действиях, планировании, данных, объяснении и обычных правовых актах. Она не ослабляется до символического обсуждения, но и не выдаёт политический результат за судебно гарантируемое право.</w:t>
      </w:r>
    </w:p>
    <w:p>
      <w:pPr>
        <w:pStyle w:val="Heading2"/>
        <w:keepNext/>
        <w:widowControl/>
      </w:pPr>
      <w:r>
        <w:t>16. Полная и переходная модели</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3222"/>
        <w:gridCol w:w="3222"/>
        <w:gridCol w:w="3222"/>
      </w:tblGrid>
      <w:tr>
        <w:trPr>
          <w:tblHeader w:val="true"/>
          <w:cantSplit/>
          <w:tblHeader w:val="true"/>
        </w:trPr>
        <w:tc>
          <w:tcPr>
            <w:tcW w:type="dxa" w:w="1440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Элемент</w:t>
            </w:r>
          </w:p>
        </w:tc>
        <w:tc>
          <w:tcPr>
            <w:tcW w:type="dxa" w:w="2268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Полная модель</w:t>
            </w:r>
          </w:p>
        </w:tc>
        <w:tc>
          <w:tcPr>
            <w:tcW w:type="dxa" w:w="2196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Переходная модель</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Правовое основание</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Конституционное или иное достаточное основание всего цикла.</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Обычный закон об участии, информации и пилоте.</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Минимальная доля принятия</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Может быть условием допуска при прямой конституционной норме.</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Превышение предела отказа публично фиксируется без лишения права баллотироваться.</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Обязанности после избрания</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Полный набор предусмотренных законом собственных действий и процедур.</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План, данные, внесение предложений, мотивировка и оценка; без спорных материальных эффектов.</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Материальное право</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Только через компетентный акт реализации.</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То же правило.</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Санкции за результат</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Отсутствуют.</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Отсутствуют.</w:t>
            </w:r>
          </w:p>
        </w:tc>
      </w:tr>
      <w:tr>
        <w:trPr>
          <w:cantSplit/>
          <w:cantSplit/>
        </w:trPr>
        <w:tc>
          <w:tcPr>
            <w:tcW w:type="dxa" w:w="1440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Масштаб</w:t>
            </w:r>
          </w:p>
        </w:tc>
        <w:tc>
          <w:tcPr>
            <w:tcW w:type="dxa" w:w="2268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После подтверждённых пилотов.</w:t>
            </w:r>
          </w:p>
        </w:tc>
        <w:tc>
          <w:tcPr>
            <w:tcW w:type="dxa" w:w="2196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Муниципальные, региональные и ограниченные национальные циклы.</w:t>
            </w:r>
          </w:p>
        </w:tc>
      </w:tr>
      <w:tr>
        <w:trPr>
          <w:cantSplit/>
          <w:cantSplit/>
        </w:trPr>
        <w:tc>
          <w:tcPr>
            <w:tcW w:type="dxa" w:w="1440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Статус</w:t>
            </w:r>
          </w:p>
        </w:tc>
        <w:tc>
          <w:tcPr>
            <w:tcW w:type="dxa" w:w="2268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Полная реализация концептуального ядра.</w:t>
            </w:r>
          </w:p>
        </w:tc>
        <w:tc>
          <w:tcPr>
            <w:tcW w:type="dxa" w:w="2196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Этап проверки, не маскируемый под окончательную модель.</w:t>
            </w:r>
          </w:p>
        </w:tc>
      </w:tr>
    </w:tbl>
    <w:p>
      <w:pPr>
        <w:pStyle w:val="Heading2"/>
        <w:keepNext/>
        <w:widowControl/>
      </w:pPr>
      <w:r>
        <w:t>17. Примеры квалификации</w:t>
      </w:r>
    </w:p>
    <w:tbl>
      <w:tblPr>
        <w:tblW w:type="auto" w:w="0"/>
        <w:tblLayout w:type="fixed"/>
        <w:tblLook w:firstColumn="1" w:firstRow="1" w:lastColumn="0" w:lastRow="0" w:noHBand="0" w:noVBand="1" w:val="04A0"/>
        <w:jc w:val="center"/>
        <w:tblBorders>
          <w:top w:val="single" w:sz="4" w:space="0" w:color="A8B3BC"/>
          <w:left w:val="single" w:sz="4" w:space="0" w:color="A8B3BC"/>
          <w:bottom w:val="single" w:sz="4" w:space="0" w:color="A8B3BC"/>
          <w:right w:val="single" w:sz="4" w:space="0" w:color="A8B3BC"/>
          <w:insideH w:val="single" w:sz="4" w:space="0" w:color="A8B3BC"/>
          <w:insideV w:val="single" w:sz="4" w:space="0" w:color="A8B3BC"/>
        </w:tblBorders>
      </w:tblPr>
      <w:tblGrid>
        <w:gridCol w:w="4833"/>
        <w:gridCol w:w="4833"/>
      </w:tblGrid>
      <w:tr>
        <w:trPr>
          <w:tblHeader w:val="true"/>
          <w:cantSplit/>
          <w:tblHeader w:val="true"/>
        </w:trPr>
        <w:tc>
          <w:tcPr>
            <w:tcW w:type="dxa" w:w="2412000"/>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Формулировка</w:t>
            </w:r>
          </w:p>
        </w:tc>
        <w:tc>
          <w:tcPr>
            <w:tcW w:type="dxa" w:w="3491999"/>
            <w:vAlign w:val="center"/>
            <w:tcMar>
              <w:top w:w="70" w:type="dxa"/>
              <w:start w:w="90" w:type="dxa"/>
              <w:bottom w:w="70" w:type="dxa"/>
              <w:end w:w="90" w:type="dxa"/>
            </w:tcMar>
            <w:shd w:fill="17365D"/>
          </w:tcPr>
          <w:p>
            <w:pPr>
              <w:spacing w:after="40" w:line="247" w:lineRule="auto"/>
              <w:jc w:val="center"/>
            </w:pPr>
            <w:r>
              <w:rPr>
                <w:rFonts w:ascii="Carlito" w:hAnsi="Carlito"/>
                <w:b/>
                <w:color w:val="FFFFFF"/>
                <w:sz w:val="17"/>
              </w:rPr>
            </w:r>
            <w:r>
              <w:rPr>
                <w:rFonts w:ascii="Carlito" w:hAnsi="Carlito"/>
                <w:b/>
                <w:color w:val="FFFFFF"/>
                <w:sz w:val="16"/>
              </w:rPr>
              <w:t>Правовая квалификация</w:t>
            </w:r>
          </w:p>
        </w:tc>
      </w:tr>
      <w:tr>
        <w:trPr>
          <w:cantSplit/>
          <w:cantSplit/>
        </w:trPr>
        <w:tc>
          <w:tcPr>
            <w:tcW w:type="dxa" w:w="241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«Подготовить и внести законопроект до определённой даты»</w:t>
            </w:r>
          </w:p>
        </w:tc>
        <w:tc>
          <w:tcPr>
            <w:tcW w:type="dxa" w:w="3491999"/>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Точное собственное действие главы исполнительной власти при наличии права законодательной инициативы; судебно проверяется факт внесения, но не принятие парламентом.</w:t>
            </w:r>
          </w:p>
        </w:tc>
      </w:tr>
      <w:tr>
        <w:trPr>
          <w:cantSplit/>
          <w:cantSplit/>
        </w:trPr>
        <w:tc>
          <w:tcPr>
            <w:tcW w:type="dxa" w:w="241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«Добиться принятия закона»</w:t>
            </w:r>
          </w:p>
        </w:tc>
        <w:tc>
          <w:tcPr>
            <w:tcW w:type="dxa" w:w="3491999"/>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Политическая цель с зависимостью от парламента; юридически обязательны внесение, аргументация, консультации и данные, но не голос депутатов.</w:t>
            </w:r>
          </w:p>
        </w:tc>
      </w:tr>
      <w:tr>
        <w:trPr>
          <w:cantSplit/>
          <w:cantSplit/>
        </w:trPr>
        <w:tc>
          <w:tcPr>
            <w:tcW w:type="dxa" w:w="241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«Снизить инфляцию до установленного уровня»</w:t>
            </w:r>
          </w:p>
        </w:tc>
        <w:tc>
          <w:tcPr>
            <w:tcW w:type="dxa" w:w="3491999"/>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Политическое обязательство общественного результата; раскрываются меры, полномочия центрального банка и внешние факторы; результат не гарантируется судом.</w:t>
            </w:r>
          </w:p>
        </w:tc>
      </w:tr>
      <w:tr>
        <w:trPr>
          <w:cantSplit/>
          <w:cantSplit/>
        </w:trPr>
        <w:tc>
          <w:tcPr>
            <w:tcW w:type="dxa" w:w="241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«Построить объект, полностью находящийся в компетенции и утверждённом бюджете»</w:t>
            </w:r>
          </w:p>
        </w:tc>
        <w:tc>
          <w:tcPr>
            <w:tcW w:type="dxa" w:w="3491999"/>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Возможна обязанность собственного решения и реализации, но только после обычного бюджетного и закупочного маршрута.</w:t>
            </w:r>
          </w:p>
        </w:tc>
      </w:tr>
      <w:tr>
        <w:trPr>
          <w:cantSplit/>
          <w:cantSplit/>
        </w:trPr>
        <w:tc>
          <w:tcPr>
            <w:tcW w:type="dxa" w:w="241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«Обязать регион финансировать программу»</w:t>
            </w:r>
          </w:p>
        </w:tc>
        <w:tc>
          <w:tcPr>
            <w:tcW w:type="dxa" w:w="3491999"/>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Недопустимо без компетенции, согласия, правового акта и финансирования соответствующего уровня.</w:t>
            </w:r>
          </w:p>
        </w:tc>
      </w:tr>
      <w:tr>
        <w:trPr>
          <w:cantSplit/>
          <w:cantSplit/>
        </w:trPr>
        <w:tc>
          <w:tcPr>
            <w:tcW w:type="dxa" w:w="2412000"/>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«Изменить Конституцию»</w:t>
            </w:r>
          </w:p>
        </w:tc>
        <w:tc>
          <w:tcPr>
            <w:tcW w:type="dxa" w:w="3491999"/>
            <w:vAlign w:val="center"/>
            <w:tcMar>
              <w:top w:w="70" w:type="dxa"/>
              <w:start w:w="90" w:type="dxa"/>
              <w:bottom w:w="70" w:type="dxa"/>
              <w:end w:w="90" w:type="dxa"/>
            </w:tcMar>
            <w:shd w:fill="F4F7F9"/>
          </w:tcPr>
          <w:p>
            <w:pPr>
              <w:spacing w:after="40" w:line="247" w:lineRule="auto"/>
            </w:pPr>
            <w:r>
              <w:rPr>
                <w:rFonts w:ascii="Carlito" w:hAnsi="Carlito"/>
                <w:color w:val="000000"/>
                <w:sz w:val="17"/>
              </w:rPr>
            </w:r>
            <w:r>
              <w:rPr>
                <w:rFonts w:ascii="Carlito" w:hAnsi="Carlito"/>
                <w:b w:val="0"/>
                <w:color w:val="000000"/>
                <w:sz w:val="16"/>
              </w:rPr>
              <w:t>Пункт может выражать общественную цель, но прямой эффект возможен исключительно по установленной конституционной процедуре.</w:t>
            </w:r>
          </w:p>
        </w:tc>
      </w:tr>
      <w:tr>
        <w:trPr>
          <w:cantSplit/>
          <w:cantSplit/>
        </w:trPr>
        <w:tc>
          <w:tcPr>
            <w:tcW w:type="dxa" w:w="2412000"/>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«Осудить конкретного человека»</w:t>
            </w:r>
          </w:p>
        </w:tc>
        <w:tc>
          <w:tcPr>
            <w:tcW w:type="dxa" w:w="3491999"/>
            <w:vAlign w:val="center"/>
            <w:tcMar>
              <w:top w:w="70" w:type="dxa"/>
              <w:start w:w="90" w:type="dxa"/>
              <w:bottom w:w="70" w:type="dxa"/>
              <w:end w:w="90" w:type="dxa"/>
            </w:tcMar>
          </w:tcPr>
          <w:p>
            <w:pPr>
              <w:spacing w:after="40" w:line="247" w:lineRule="auto"/>
            </w:pPr>
            <w:r>
              <w:rPr>
                <w:rFonts w:ascii="Carlito" w:hAnsi="Carlito"/>
                <w:color w:val="000000"/>
                <w:sz w:val="17"/>
              </w:rPr>
            </w:r>
            <w:r>
              <w:rPr>
                <w:rFonts w:ascii="Carlito" w:hAnsi="Carlito"/>
                <w:b w:val="0"/>
                <w:color w:val="000000"/>
                <w:sz w:val="16"/>
              </w:rPr>
              <w:t>Не допускается как предмет поручения: нарушает судебную независимость и права личности.</w:t>
            </w:r>
          </w:p>
        </w:tc>
      </w:tr>
    </w:tbl>
    <w:p>
      <w:pPr>
        <w:pStyle w:val="Heading2"/>
        <w:keepNext/>
        <w:widowControl/>
      </w:pPr>
      <w:r>
        <w:t>18. Тест враждебного использования</w:t>
      </w:r>
    </w:p>
    <w:p>
      <w:pPr>
        <w:widowControl/>
        <w:spacing w:after="80" w:line="269" w:lineRule="auto"/>
      </w:pPr>
      <w:r>
        <w:rPr>
          <w:rFonts w:ascii="Carlito" w:hAnsi="Carlito"/>
          <w:i w:val="0"/>
          <w:sz w:val="21"/>
        </w:rPr>
        <w:t>Правовая модель считается приемлемой только после проверки ситуации, в которой исполнительная власть, парламентское большинство, оператор, подрядчики и значительная часть контрольных институтов действуют согласованно и недобросовестно.</w:t>
      </w:r>
    </w:p>
    <w:p>
      <w:pPr>
        <w:widowControl/>
        <w:spacing w:after="80" w:line="269" w:lineRule="auto"/>
      </w:pPr>
      <w:r>
        <w:rPr>
          <w:rFonts w:ascii="Carlito" w:hAnsi="Carlito"/>
          <w:i w:val="0"/>
          <w:sz w:val="21"/>
        </w:rPr>
        <w:t>Минимальные защитные свойства включают:</w:t>
      </w:r>
    </w:p>
    <w:p>
      <w:pPr>
        <w:pStyle w:val="ListBullet"/>
        <w:widowControl/>
        <w:spacing w:after="50" w:line="259" w:lineRule="auto"/>
        <w:ind w:left="312" w:hanging="142"/>
      </w:pPr>
      <w:r>
        <w:rPr>
          <w:rFonts w:ascii="Carlito" w:hAnsi="Carlito"/>
          <w:sz w:val="20"/>
        </w:rPr>
        <w:t>невозможность создать прямой правовой эффект внутренней классификацией;</w:t>
      </w:r>
    </w:p>
    <w:p>
      <w:pPr>
        <w:pStyle w:val="ListBullet"/>
        <w:widowControl/>
        <w:spacing w:after="50" w:line="259" w:lineRule="auto"/>
        <w:ind w:left="312" w:hanging="142"/>
      </w:pPr>
      <w:r>
        <w:rPr>
          <w:rFonts w:ascii="Carlito" w:hAnsi="Carlito"/>
          <w:sz w:val="20"/>
        </w:rPr>
        <w:t>неизменяемый публичный текст, распределённые копии и независимую воспроизводимость;</w:t>
      </w:r>
    </w:p>
    <w:p>
      <w:pPr>
        <w:pStyle w:val="ListBullet"/>
        <w:widowControl/>
        <w:spacing w:after="50" w:line="259" w:lineRule="auto"/>
        <w:ind w:left="312" w:hanging="142"/>
      </w:pPr>
      <w:r>
        <w:rPr>
          <w:rFonts w:ascii="Carlito" w:hAnsi="Carlito"/>
          <w:sz w:val="20"/>
        </w:rPr>
        <w:t>запрет единого политического профиля и многосторонний контроль исключений;</w:t>
      </w:r>
    </w:p>
    <w:p>
      <w:pPr>
        <w:pStyle w:val="ListBullet"/>
        <w:widowControl/>
        <w:spacing w:after="50" w:line="259" w:lineRule="auto"/>
        <w:ind w:left="312" w:hanging="142"/>
      </w:pPr>
      <w:r>
        <w:rPr>
          <w:rFonts w:ascii="Carlito" w:hAnsi="Carlito"/>
          <w:sz w:val="20"/>
        </w:rPr>
        <w:t>отсутствие государственного толкования политического смысла декларации;</w:t>
      </w:r>
    </w:p>
    <w:p>
      <w:pPr>
        <w:pStyle w:val="ListBullet"/>
        <w:widowControl/>
        <w:spacing w:after="50" w:line="259" w:lineRule="auto"/>
        <w:ind w:left="312" w:hanging="142"/>
      </w:pPr>
      <w:r>
        <w:rPr>
          <w:rFonts w:ascii="Carlito" w:hAnsi="Carlito"/>
          <w:sz w:val="20"/>
        </w:rPr>
        <w:t>узкий перечень оснований правового отсева и судебную финальность;</w:t>
      </w:r>
    </w:p>
    <w:p>
      <w:pPr>
        <w:pStyle w:val="ListBullet"/>
        <w:widowControl/>
        <w:spacing w:after="50" w:line="259" w:lineRule="auto"/>
        <w:ind w:left="312" w:hanging="142"/>
      </w:pPr>
      <w:r>
        <w:rPr>
          <w:rFonts w:ascii="Carlito" w:hAnsi="Carlito"/>
          <w:sz w:val="20"/>
        </w:rPr>
        <w:t>запрет связывать парламент, суд и регионы чужой декларацией;</w:t>
      </w:r>
    </w:p>
    <w:p>
      <w:pPr>
        <w:pStyle w:val="ListBullet"/>
        <w:widowControl/>
        <w:spacing w:after="50" w:line="259" w:lineRule="auto"/>
        <w:ind w:left="312" w:hanging="142"/>
      </w:pPr>
      <w:r>
        <w:rPr>
          <w:rFonts w:ascii="Carlito" w:hAnsi="Carlito"/>
          <w:sz w:val="20"/>
        </w:rPr>
        <w:t>автоматические сроки прекращения пилотов и временных органов;</w:t>
      </w:r>
    </w:p>
    <w:p>
      <w:pPr>
        <w:pStyle w:val="ListBullet"/>
        <w:widowControl/>
        <w:spacing w:after="50" w:line="259" w:lineRule="auto"/>
        <w:ind w:left="312" w:hanging="142"/>
      </w:pPr>
      <w:r>
        <w:rPr>
          <w:rFonts w:ascii="Carlito" w:hAnsi="Carlito"/>
          <w:sz w:val="20"/>
        </w:rPr>
        <w:t>право на независимую оценку и особое мнение вне официального оператора;</w:t>
      </w:r>
    </w:p>
    <w:p>
      <w:pPr>
        <w:pStyle w:val="ListBullet"/>
        <w:widowControl/>
        <w:spacing w:after="50" w:line="259" w:lineRule="auto"/>
        <w:ind w:left="312" w:hanging="142"/>
      </w:pPr>
      <w:r>
        <w:rPr>
          <w:rFonts w:ascii="Carlito" w:hAnsi="Carlito"/>
          <w:sz w:val="20"/>
        </w:rPr>
        <w:t>отсутствие специальных санкций, позволяющих устранять политических конкурентов.</w:t>
      </w:r>
    </w:p>
    <w:p>
      <w:pPr>
        <w:widowControl/>
        <w:spacing w:after="80" w:line="269" w:lineRule="auto"/>
      </w:pPr>
      <w:r>
        <w:rPr>
          <w:rFonts w:ascii="Carlito" w:hAnsi="Carlito"/>
          <w:i w:val="0"/>
          <w:sz w:val="21"/>
        </w:rPr>
        <w:t>Доктрина не может гарантировать свободу при полном разрушении конституционного порядка. Её задача — не создавать будущей недобросовестной власти новые, более удобные инструменты захвата, профилирования и плебисцитарной легитимации.</w:t>
      </w:r>
    </w:p>
    <w:p>
      <w:pPr>
        <w:pStyle w:val="Heading2"/>
        <w:keepNext/>
        <w:widowControl/>
      </w:pPr>
      <w:r>
        <w:t>19. Наиболее сильные возражения и встроенные ответы</w:t>
      </w:r>
    </w:p>
    <w:p>
      <w:pPr>
        <w:pStyle w:val="Heading3"/>
        <w:keepNext/>
        <w:widowControl/>
      </w:pPr>
      <w:r>
        <w:t>19.1. «Если результат не принуждается судом, поручение фиктивно»</w:t>
      </w:r>
    </w:p>
    <w:p>
      <w:pPr>
        <w:widowControl/>
        <w:spacing w:after="60" w:line="269" w:lineRule="auto"/>
      </w:pPr>
      <w:r>
        <w:rPr>
          <w:rFonts w:ascii="Carlito" w:hAnsi="Carlito"/>
          <w:i/>
          <w:sz w:val="21"/>
        </w:rPr>
        <w:t>Без специальной санкции власть может ограничиться отчётом.</w:t>
      </w:r>
    </w:p>
    <w:p>
      <w:pPr>
        <w:widowControl/>
        <w:spacing w:after="100" w:line="264" w:lineRule="auto"/>
      </w:pPr>
      <w:r>
        <w:rPr>
          <w:rFonts w:ascii="Carlito" w:hAnsi="Carlito"/>
          <w:b/>
          <w:color w:val="1A3754"/>
          <w:sz w:val="21"/>
        </w:rPr>
        <w:t xml:space="preserve">Встроенный ответ. </w:t>
      </w:r>
      <w:r>
        <w:rPr>
          <w:rFonts w:ascii="Carlito" w:hAnsi="Carlito"/>
          <w:sz w:val="21"/>
        </w:rPr>
        <w:t>Обязательность включает минимальное принятие, реестр, план, точные собственные действия, данные и мотивировку, подлежащие юридической защите. Политический результат остаётся реальным предметом оценки и выборов, но не превращается в невозможное судебное обещание.</w:t>
      </w:r>
    </w:p>
    <w:p>
      <w:pPr>
        <w:pStyle w:val="Heading3"/>
        <w:keepNext/>
        <w:widowControl/>
      </w:pPr>
      <w:r>
        <w:t>19.2. «Если обязательность сильна, она нарушает свободный мандат и бюджет»</w:t>
      </w:r>
    </w:p>
    <w:p>
      <w:pPr>
        <w:widowControl/>
        <w:spacing w:after="60" w:line="269" w:lineRule="auto"/>
      </w:pPr>
      <w:r>
        <w:rPr>
          <w:rFonts w:ascii="Carlito" w:hAnsi="Carlito"/>
          <w:i/>
          <w:sz w:val="21"/>
        </w:rPr>
        <w:t>Общественный перечень не вправе становиться внешней инструкцией парламенту.</w:t>
      </w:r>
    </w:p>
    <w:p>
      <w:pPr>
        <w:widowControl/>
        <w:spacing w:after="100" w:line="264" w:lineRule="auto"/>
      </w:pPr>
      <w:r>
        <w:rPr>
          <w:rFonts w:ascii="Carlito" w:hAnsi="Carlito"/>
          <w:b/>
          <w:color w:val="1A3754"/>
          <w:sz w:val="21"/>
        </w:rPr>
        <w:t xml:space="preserve">Встроенный ответ. </w:t>
      </w:r>
      <w:r>
        <w:rPr>
          <w:rFonts w:ascii="Carlito" w:hAnsi="Carlito"/>
          <w:sz w:val="21"/>
        </w:rPr>
        <w:t>Модель связывает только собственные действия субъекта декларации. Парламент обязан рассмотреть и объяснить в пределах национального права, но сохраняет свободу решения; расходы возникают только из обычного бюджета.</w:t>
      </w:r>
    </w:p>
    <w:p>
      <w:pPr>
        <w:pStyle w:val="Heading3"/>
        <w:keepNext/>
        <w:widowControl/>
      </w:pPr>
      <w:r>
        <w:t>19.3. «Кандидатская декларация — государственный экзамен»</w:t>
      </w:r>
    </w:p>
    <w:p>
      <w:pPr>
        <w:widowControl/>
        <w:spacing w:after="60" w:line="269" w:lineRule="auto"/>
      </w:pPr>
      <w:r>
        <w:rPr>
          <w:rFonts w:ascii="Carlito" w:hAnsi="Carlito"/>
          <w:i/>
          <w:sz w:val="21"/>
        </w:rPr>
        <w:t>Официально выбранные вопросы могут подавить альтернативную программу и честное несогласие.</w:t>
      </w:r>
    </w:p>
    <w:p>
      <w:pPr>
        <w:widowControl/>
        <w:spacing w:after="100" w:line="264" w:lineRule="auto"/>
      </w:pPr>
      <w:r>
        <w:t>Встроенный ответ. Кандидат сохраняет программу, полный текст ответа и право непринятия в ограниченных пределах. Государство не оценивает политическую правильность позиции. Формальная грамматика считает только объективные структурные признаки ответа. Превышение предела влияет на статус присоединения к общественному мандату; ограничение регистрации возможно лишь в отдельной национальной конституционной модели, прошедшей самостоятельную проверку.</w:t>
      </w:r>
    </w:p>
    <w:p>
      <w:pPr>
        <w:pStyle w:val="Heading3"/>
        <w:keepNext/>
        <w:widowControl/>
      </w:pPr>
      <w:r>
        <w:t>19.4. «Выборы не одобряют каждый пункт»</w:t>
      </w:r>
    </w:p>
    <w:p>
      <w:pPr>
        <w:widowControl/>
        <w:spacing w:after="60" w:line="269" w:lineRule="auto"/>
      </w:pPr>
      <w:r>
        <w:rPr>
          <w:rFonts w:ascii="Carlito" w:hAnsi="Carlito"/>
          <w:i/>
          <w:sz w:val="21"/>
        </w:rPr>
        <w:t>Голос за кандидата является пакетным и может быть отдан вопреки части позиций.</w:t>
      </w:r>
    </w:p>
    <w:p>
      <w:pPr>
        <w:widowControl/>
        <w:spacing w:after="100" w:line="264" w:lineRule="auto"/>
      </w:pPr>
      <w:r>
        <w:rPr>
          <w:rFonts w:ascii="Carlito" w:hAnsi="Carlito"/>
          <w:b/>
          <w:color w:val="1A3754"/>
          <w:sz w:val="21"/>
        </w:rPr>
        <w:t xml:space="preserve">Встроенный ответ. </w:t>
      </w:r>
      <w:r>
        <w:rPr>
          <w:rFonts w:ascii="Carlito" w:hAnsi="Carlito"/>
          <w:sz w:val="21"/>
        </w:rPr>
        <w:t>Избрание не считается отдельным одобрением пунктов. Оно только определяет, чья добровольно опубликованная декларация входит в установленный режим подотчётности самого победителя.</w:t>
      </w:r>
    </w:p>
    <w:p>
      <w:pPr>
        <w:pStyle w:val="Heading3"/>
        <w:keepNext/>
        <w:widowControl/>
      </w:pPr>
      <w:r>
        <w:t>19.5. «Оценщики станут политическим судом»</w:t>
      </w:r>
    </w:p>
    <w:p>
      <w:pPr>
        <w:widowControl/>
        <w:spacing w:after="60" w:line="269" w:lineRule="auto"/>
      </w:pPr>
      <w:r>
        <w:rPr>
          <w:rFonts w:ascii="Carlito" w:hAnsi="Carlito"/>
          <w:i/>
          <w:sz w:val="21"/>
        </w:rPr>
        <w:t>Методика и публикация способны влиять на следующие выборы.</w:t>
      </w:r>
    </w:p>
    <w:p>
      <w:pPr>
        <w:widowControl/>
        <w:spacing w:after="100" w:line="264" w:lineRule="auto"/>
      </w:pPr>
      <w:r>
        <w:rPr>
          <w:rFonts w:ascii="Carlito" w:hAnsi="Carlito"/>
          <w:b/>
          <w:color w:val="1A3754"/>
          <w:sz w:val="21"/>
        </w:rPr>
        <w:t xml:space="preserve">Встроенный ответ. </w:t>
      </w:r>
      <w:r>
        <w:rPr>
          <w:rFonts w:ascii="Carlito" w:hAnsi="Carlito"/>
          <w:sz w:val="21"/>
        </w:rPr>
        <w:t>Запрещён единый официальный балл, обязательны альтернативные методики, особые мнения и право власти на ответ. Юридические последствия возникают не из политической оценки, а из доказанного конкретного нарушения обычного права.</w:t>
      </w:r>
    </w:p>
    <w:p>
      <w:pPr>
        <w:pStyle w:val="Heading2"/>
        <w:keepNext/>
        <w:widowControl/>
      </w:pPr>
      <w:r>
        <w:t>20. Связь с другими главами</w:t>
      </w:r>
    </w:p>
    <w:p>
      <w:pPr>
        <w:widowControl/>
        <w:spacing w:after="80" w:line="269" w:lineRule="auto"/>
      </w:pPr>
      <w:r>
        <w:rPr>
          <w:rFonts w:ascii="Carlito" w:hAnsi="Carlito"/>
          <w:i w:val="0"/>
          <w:sz w:val="21"/>
        </w:rPr>
        <w:t>Главы VI–IX должны распределить функции и исключить квазичетвёртую ветвь. Главы X–XIX должны формировать поручение без содержательного административного вето. Главы XX–XXX конкретизируют декларацию, реестр, план, мониторинг, изменение и оценку в пределах настоящей главы. Главы XXXI–XXXVII обеспечивают поэтапность, стоимость, информационную безопасность и политическую несвязываемость.</w:t>
      </w:r>
    </w:p>
    <w:p>
      <w:pPr>
        <w:pStyle w:val="Heading2"/>
        <w:keepNext/>
        <w:widowControl/>
      </w:pPr>
      <w:r>
        <w:t>21. Вывод и нормативная формула</w:t>
      </w:r>
    </w:p>
    <w:p>
      <w:pPr>
        <w:pStyle w:val="DoctrineQuote"/>
        <w:keepLines/>
        <w:widowControl/>
        <w:spacing w:before="80" w:after="140"/>
        <w:ind w:left="369" w:right="198"/>
      </w:pPr>
      <w:r>
        <w:rPr>
          <w:rFonts w:ascii="Carlito" w:hAnsi="Carlito"/>
          <w:sz w:val="21"/>
        </w:rPr>
        <w:t>Общественное поручение обязательно не как приказ конституционным институтам, а как установленный гражданами и законом цикл публичного отношения, ограниченного принятия, собственных действий, планирования, данных, мотивировки и политической ответственности. Материальное правовое последствие возникает только из акта компетентного органа.</w:t>
      </w:r>
    </w:p>
    <w:p>
      <w:pPr>
        <w:widowControl/>
        <w:spacing w:after="80" w:line="269" w:lineRule="auto"/>
      </w:pPr>
      <w:r>
        <w:rPr>
          <w:rFonts w:ascii="Carlito" w:hAnsi="Carlito"/>
          <w:i w:val="0"/>
          <w:sz w:val="21"/>
        </w:rPr>
        <w:t>Такая модель сохраняет корневую идею Доктрины: граждане получают не право просто быть услышанными, а реальный механизм постановки части целей и последующей подотчётности. Одновременно она исключает фиктивную обязательность результата, скрытую нормативность, свободное толкование классификатора и конфликт с самостоятельной компетенцией других институтов.</w:t>
      </w:r>
    </w:p>
    <w:p>
      <w:pPr>
        <w:widowControl/>
      </w:pPr>
      <w:r>
        <w:br w:type="page"/>
      </w:r>
    </w:p>
    <w:p>
      <w:pPr>
        <w:pStyle w:val="Heading1"/>
        <w:keepNext/>
        <w:pageBreakBefore/>
        <w:spacing w:before="0" w:after="160"/>
        <w:widowControl/>
        <w:pBdr>
          <w:bottom w:val="single" w:sz="5" w:space="4" w:color="B4C6E7"/>
        </w:pBdr>
      </w:pPr>
      <w:r>
        <w:t>Глава VI. Субъекты, адресаты и уровни общественного поручения</w:t>
      </w:r>
    </w:p>
    <w:p>
      <w:pPr>
        <w:pStyle w:val="Heading2"/>
        <w:keepNext/>
        <w:widowControl/>
      </w:pPr>
      <w:r>
        <w:t>1. Предмет и цель главы</w:t>
      </w:r>
    </w:p>
    <w:p>
      <w:pPr>
        <w:widowControl/>
      </w:pPr>
      <w:r>
        <w:rPr>
          <w:i w:val="0"/>
        </w:rPr>
        <w:t>Настоящая глава определяет, кто участвует в формировании общественного поручения, кому адресуется каждый его пункт, какой субъект вправе принять политическую позицию, кто способен совершить юридически значимое действие и на каком уровне публичной власти должен рассматриваться вопрос.</w:t>
      </w:r>
    </w:p>
    <w:p>
      <w:pPr>
        <w:widowControl/>
      </w:pPr>
      <w:r>
        <w:rPr>
          <w:i w:val="0"/>
        </w:rPr>
        <w:t>Цель главы — исключить три системные ошибки: приписывание обществу единой субъектности, возложение результата на лицо без соответствующей компетенции и использование национального поручения для обхода региональной или муниципальной автономии.</w:t>
      </w:r>
    </w:p>
    <w:p>
      <w:pPr>
        <w:pStyle w:val="DoctrineQuote"/>
        <w:widowControl/>
      </w:pPr>
      <w:r>
        <w:rPr>
          <w:i w:val="0"/>
        </w:rPr>
        <w:t>Граждане являются источником общественной повестки. Кандидат является носителем собственной публичной позиции. Избранный субъект отвечает только за действия в своей компетенции. Каждый иной орган сохраняет собственный конституционный мандат.</w:t>
      </w:r>
    </w:p>
    <w:p>
      <w:pPr>
        <w:pStyle w:val="Heading2"/>
        <w:keepNext/>
        <w:widowControl/>
      </w:pPr>
      <w:r>
        <w:t>2. Основные определения</w:t>
      </w:r>
    </w:p>
    <w:p>
      <w:pPr>
        <w:pStyle w:val="ListBullet"/>
        <w:widowControl/>
      </w:pPr>
      <w:r>
        <w:rPr>
          <w:i w:val="0"/>
        </w:rPr>
        <w:t>участник — физическое лицо, использующее предусмотренное законом право выдвигать, поддерживать, обсуждать, оценивать или оспаривать инициативу;</w:t>
      </w:r>
    </w:p>
    <w:p>
      <w:pPr>
        <w:pStyle w:val="ListBullet"/>
        <w:widowControl/>
      </w:pPr>
      <w:r>
        <w:rPr>
          <w:i w:val="0"/>
        </w:rPr>
        <w:t>инициатор — лицо либо допустимое объединение лиц, от имени которого зарегистрирован исходный текст инициативы;</w:t>
      </w:r>
    </w:p>
    <w:p>
      <w:pPr>
        <w:pStyle w:val="ListBullet"/>
        <w:widowControl/>
      </w:pPr>
      <w:r>
        <w:rPr>
          <w:i w:val="0"/>
        </w:rPr>
        <w:t>субъект общественного утверждения — установленный национальным правом корпус граждан, имеющих право участвовать в окончательном голосовании или ранжировании соответствующего уровня;</w:t>
      </w:r>
    </w:p>
    <w:p>
      <w:pPr>
        <w:pStyle w:val="ListBullet"/>
        <w:widowControl/>
      </w:pPr>
      <w:r>
        <w:rPr>
          <w:i w:val="0"/>
        </w:rPr>
        <w:t>политический адресат — кандидат, партия, избирательное объединение либо избираемый коллективный орган, от которого требуется публично раскрыть позицию;</w:t>
      </w:r>
    </w:p>
    <w:p>
      <w:pPr>
        <w:pStyle w:val="ListBullet"/>
        <w:widowControl/>
      </w:pPr>
      <w:r>
        <w:rPr>
          <w:i w:val="0"/>
        </w:rPr>
        <w:t>основной компетентный адресат — орган или должностное лицо, в чьей собственной компетенции находится первое юридически значимое действие по пункту;</w:t>
      </w:r>
    </w:p>
    <w:p>
      <w:pPr>
        <w:pStyle w:val="ListBullet"/>
        <w:widowControl/>
      </w:pPr>
      <w:r>
        <w:rPr>
          <w:i w:val="0"/>
        </w:rPr>
        <w:t>соадресат — самостоятельный орган или уровень власти, решение которого необходимо для полного результата, но который не становится связанным чужой декларацией;</w:t>
      </w:r>
    </w:p>
    <w:p>
      <w:pPr>
        <w:pStyle w:val="ListBullet"/>
        <w:widowControl/>
      </w:pPr>
      <w:r>
        <w:rPr>
          <w:i w:val="0"/>
        </w:rPr>
        <w:t>административный исполнитель — орган, учреждение или должностное лицо, реализующее законное решение в пределах подчинённости и выделенных ресурсов;</w:t>
      </w:r>
    </w:p>
    <w:p>
      <w:pPr>
        <w:pStyle w:val="ListBullet"/>
        <w:widowControl/>
      </w:pPr>
      <w:r>
        <w:rPr>
          <w:i w:val="0"/>
        </w:rPr>
        <w:t>процессный оператор — субъект, обеспечивающий регистрацию, календарь, публикацию или техническое действие без права определять политическое содержание;</w:t>
      </w:r>
    </w:p>
    <w:p>
      <w:pPr>
        <w:pStyle w:val="ListBullet"/>
        <w:widowControl/>
      </w:pPr>
      <w:r>
        <w:rPr>
          <w:i w:val="0"/>
        </w:rPr>
        <w:t>затрагиваемый уровень — уровень публичной власти, на полномочия, бюджет или автономию которого способна непосредственно повлиять реализация пункта;</w:t>
      </w:r>
    </w:p>
    <w:p>
      <w:pPr>
        <w:pStyle w:val="ListBullet"/>
        <w:widowControl/>
      </w:pPr>
      <w:r>
        <w:rPr>
          <w:i w:val="0"/>
        </w:rPr>
        <w:t>паспорт компетенции — официальный набор сведений о правовом уровне, адресатах, зависимостях, источниках финансирования и пределах ответственности пункта.</w:t>
      </w:r>
    </w:p>
    <w:p>
      <w:pPr>
        <w:widowControl/>
      </w:pPr>
      <w:r>
        <w:rPr>
          <w:i w:val="0"/>
        </w:rPr>
        <w:t>Ни одно из указанных понятий не означает наличие единого «принципала», который передаёт избранному органу договорное задание. Общественное поручение является результатом процедуры участия и политико-правовой подотчётности, а не частноправовым договором между единым обществом и агентом.</w:t>
      </w:r>
    </w:p>
    <w:p>
      <w:pPr>
        <w:pStyle w:val="Heading2"/>
        <w:keepNext/>
        <w:widowControl/>
      </w:pPr>
      <w:r>
        <w:t>3. Гражданин как основной субъект участия</w:t>
      </w:r>
    </w:p>
    <w:p>
      <w:pPr>
        <w:widowControl/>
      </w:pPr>
      <w:r>
        <w:rPr>
          <w:i w:val="0"/>
        </w:rPr>
        <w:t>Гражданин обладает равным правом участвовать в общественном поручении в пределах избирательных и иных политических прав, установленных Конституцией и законом. Реализация права не может зависеть от членства в партии, профессиональной квалификации, собственности, дохода, места работы, цифрового устройства или публичного раскрытия политической позиции.</w:t>
      </w:r>
    </w:p>
    <w:p>
      <w:pPr>
        <w:widowControl/>
      </w:pPr>
      <w:r>
        <w:rPr>
          <w:i w:val="0"/>
        </w:rPr>
        <w:t>Гражданин вправе:</w:t>
      </w:r>
    </w:p>
    <w:p>
      <w:pPr>
        <w:pStyle w:val="ListBullet"/>
        <w:widowControl/>
      </w:pPr>
      <w:r>
        <w:rPr>
          <w:i w:val="0"/>
        </w:rPr>
        <w:t>подать индивидуальную или коллективную инициативу;</w:t>
      </w:r>
    </w:p>
    <w:p>
      <w:pPr>
        <w:pStyle w:val="ListBullet"/>
        <w:widowControl/>
      </w:pPr>
      <w:r>
        <w:rPr>
          <w:i w:val="0"/>
        </w:rPr>
        <w:t>поддержать, отозвать поддержку либо воздержаться;</w:t>
      </w:r>
    </w:p>
    <w:p>
      <w:pPr>
        <w:pStyle w:val="ListBullet"/>
        <w:widowControl/>
      </w:pPr>
      <w:r>
        <w:rPr>
          <w:i w:val="0"/>
        </w:rPr>
        <w:t>получить исходный текст, все рабочие редакции, карту изменений и сведения о происхождении кампании;</w:t>
      </w:r>
    </w:p>
    <w:p>
      <w:pPr>
        <w:pStyle w:val="ListBullet"/>
        <w:widowControl/>
      </w:pPr>
      <w:r>
        <w:rPr>
          <w:i w:val="0"/>
        </w:rPr>
        <w:t>участвовать в обсуждении через цифровой или функционально равный недигитальный канал;</w:t>
      </w:r>
    </w:p>
    <w:p>
      <w:pPr>
        <w:pStyle w:val="ListBullet"/>
        <w:widowControl/>
      </w:pPr>
      <w:r>
        <w:rPr>
          <w:i w:val="0"/>
        </w:rPr>
        <w:t>получить доступные материалы о правовых, финансовых, социальных и иных последствиях;</w:t>
      </w:r>
    </w:p>
    <w:p>
      <w:pPr>
        <w:pStyle w:val="ListBullet"/>
        <w:widowControl/>
      </w:pPr>
      <w:r>
        <w:rPr>
          <w:i w:val="0"/>
        </w:rPr>
        <w:t>голосовать либо ранжировать пункты в соответствии с правилами соответствующего уровня;</w:t>
      </w:r>
    </w:p>
    <w:p>
      <w:pPr>
        <w:pStyle w:val="ListBullet"/>
        <w:widowControl/>
      </w:pPr>
      <w:r>
        <w:rPr>
          <w:i w:val="0"/>
        </w:rPr>
        <w:t>оспорить нарушение собственного права, искажение текста, незаконную обработку данных или процессуальное решение, непосредственно влияющее на участие;</w:t>
      </w:r>
    </w:p>
    <w:p>
      <w:pPr>
        <w:pStyle w:val="ListBullet"/>
        <w:widowControl/>
      </w:pPr>
      <w:r>
        <w:rPr>
          <w:i w:val="0"/>
        </w:rPr>
        <w:t>не участвовать и не подвергаться неблагоприятному выводу из факта неучастия.</w:t>
      </w:r>
    </w:p>
    <w:p>
      <w:pPr>
        <w:widowControl/>
      </w:pPr>
      <w:r>
        <w:rPr>
          <w:i w:val="0"/>
        </w:rPr>
        <w:t>Низкая явка, социальный перекос или территориальный разрыв не лишают участвовавших граждан права голоса, но ограничивают формулировки, которыми официальный документ описывает представительность результата. Ни один оператор не вправе называть ограниченную активную выборку «единой волей общества».</w:t>
      </w:r>
    </w:p>
    <w:p>
      <w:pPr>
        <w:pStyle w:val="Heading2"/>
        <w:keepNext/>
        <w:widowControl/>
      </w:pPr>
      <w:r>
        <w:t>4. Лица без полного избирательного статуса</w:t>
      </w:r>
    </w:p>
    <w:p>
      <w:pPr>
        <w:widowControl/>
      </w:pPr>
      <w:r>
        <w:rPr>
          <w:i w:val="0"/>
        </w:rPr>
        <w:t>Универсальная Доктрина различает право участвовать в общественной дискуссии и право принимать окончательное суверенное решение. Национальное право может предоставлять постоянно проживающим негражданам, несовершеннолетним старших возрастных групп, гражданам за рубежом и иным категориям право выдвижения, обсуждения, представления данных и участия в консультативных панелях.</w:t>
      </w:r>
    </w:p>
    <w:p>
      <w:pPr>
        <w:widowControl/>
      </w:pPr>
      <w:r>
        <w:rPr>
          <w:i w:val="0"/>
        </w:rPr>
        <w:t>Окончательное голосование по государственному общественному поручению осуществляется лицами, обладающими соответствующим политическим правом. На муниципальном уровне национальная модель может расширить корпус участников, если это соответствует Конституции, характеру местного самоуправления и принципу равенства.</w:t>
      </w:r>
    </w:p>
    <w:p>
      <w:pPr>
        <w:widowControl/>
      </w:pPr>
      <w:r>
        <w:rPr>
          <w:i w:val="0"/>
        </w:rPr>
        <w:t>Различия статуса должны быть прямо объяснены, не использоваться для политического профилирования и не создавать ложное впечатление, что консультативное участие автоматически равно суверенному решению.</w:t>
      </w:r>
    </w:p>
    <w:p>
      <w:pPr>
        <w:pStyle w:val="Heading2"/>
        <w:keepNext/>
        <w:widowControl/>
      </w:pPr>
      <w:r>
        <w:t>5. Коллективные инициаторы и организованные интересы</w:t>
      </w:r>
    </w:p>
    <w:p>
      <w:pPr>
        <w:widowControl/>
      </w:pPr>
      <w:r>
        <w:rPr>
          <w:i w:val="0"/>
        </w:rPr>
        <w:t>Общественные объединения, профсоюзы, профессиональные сообщества, бизнес-ассоциации, благотворительные организации, политические партии и органы публичной власти могут содействовать подготовке инициативы, но не получают повышенного веса гражданского голоса и не обладают привилегированным путём к финальному перечню.</w:t>
      </w:r>
    </w:p>
    <w:p>
      <w:pPr>
        <w:widowControl/>
      </w:pPr>
      <w:r>
        <w:rPr>
          <w:i w:val="0"/>
        </w:rPr>
        <w:t>При подаче инициативы коллективным субъектом раскрываются его организационная роль, существенное финансирование, профессиональная координация и конечный бенефициар кампании. Личности обычных членов, малых доноров и рядовых сторонников не раскрываются, если иное не требуется для расследования конкретного правонарушения по судебному решению.</w:t>
      </w:r>
    </w:p>
    <w:p>
      <w:pPr>
        <w:widowControl/>
      </w:pPr>
      <w:r>
        <w:rPr>
          <w:i w:val="0"/>
        </w:rPr>
        <w:t>Орган публичной власти вправе представить проблему, данные или проект, но такая инициатива маркируется как институциональная и не выдаётся за спонтанное гражданское происхождение. Государственный субъект не может использовать административные ресурсы для искусственного достижения порога поддержки.</w:t>
      </w:r>
    </w:p>
    <w:p>
      <w:pPr>
        <w:pStyle w:val="Heading2"/>
        <w:keepNext/>
        <w:widowControl/>
      </w:pPr>
      <w:r>
        <w:t>6. Автор инициативы и представитель смысловой позиции</w:t>
      </w:r>
    </w:p>
    <w:p>
      <w:pPr>
        <w:widowControl/>
      </w:pPr>
      <w:r>
        <w:rPr>
          <w:i w:val="0"/>
        </w:rPr>
        <w:t>Исходный текст инициативы является неизменяемым архивным объектом. Автор или коллектив авторов вправе назначить представителя смысловой позиции для участия в редакционной работе, но такой представитель не получает право единолично распоряжаться поддержкой всех граждан.</w:t>
      </w:r>
    </w:p>
    <w:p>
      <w:pPr>
        <w:widowControl/>
      </w:pPr>
      <w:r>
        <w:rPr>
          <w:i w:val="0"/>
        </w:rPr>
        <w:t>При объединении нескольких инициатив формируется коллегия представителей исходных текстов. Несогласие хотя бы одного представителя сохраняется в публичной карте редакций. Существенная рабочая редакция требует нового подтверждения поддержки по правилам главы XIII.</w:t>
      </w:r>
    </w:p>
    <w:p>
      <w:pPr>
        <w:widowControl/>
      </w:pPr>
      <w:r>
        <w:rPr>
          <w:i w:val="0"/>
        </w:rPr>
        <w:t>Публичная анонимность автора допускается при угрозе преследования или ином законном основании. Проверка права подачи, существенного финансирования и отсутствия запрещённой координации проводится в отдельном защищённом контуре, не связанном с публичной политической историей лица.</w:t>
      </w:r>
    </w:p>
    <w:p>
      <w:pPr>
        <w:pStyle w:val="Heading2"/>
        <w:keepNext/>
        <w:widowControl/>
      </w:pPr>
      <w:r>
        <w:t>7. Кандидат, партия и избирательное объединение</w:t>
      </w:r>
    </w:p>
    <w:p>
      <w:pPr>
        <w:widowControl/>
      </w:pPr>
      <w:r>
        <w:rPr>
          <w:i w:val="0"/>
        </w:rPr>
        <w:t>Кандидат является политическим адресатом общественного поручения, но до избрания не является исполнителем государственной цели. Его обязанность ограничена представлением собственной сопоставимой позиции в порядке, установленном главами XX–XXII.</w:t>
      </w:r>
    </w:p>
    <w:p>
      <w:pPr>
        <w:widowControl/>
      </w:pPr>
      <w:r>
        <w:rPr>
          <w:i w:val="0"/>
        </w:rPr>
        <w:t>Партия или избирательное объединение вправе раскрыть коллективную позицию, однако она не создаёт индивидуального юридического долга депутата голосовать определённым образом. В парламентской системе партийная декларация служит основанием для последующей публичной фиксации коалиционного компромисса, но не отменяет свободный мандат парламентариев.</w:t>
      </w:r>
    </w:p>
    <w:p>
      <w:pPr>
        <w:widowControl/>
      </w:pPr>
      <w:r>
        <w:rPr>
          <w:i w:val="0"/>
        </w:rPr>
        <w:t>Кандидат не вправе присваивать себе результат, находящийся в исключительной компетенции парламента, суда, региона, муниципалитета или независимого регулятора. Он обязан разделить собственное действие, действие иных органов и внешние факторы.</w:t>
      </w:r>
    </w:p>
    <w:p>
      <w:pPr>
        <w:pStyle w:val="Heading2"/>
        <w:keepNext/>
        <w:widowControl/>
      </w:pPr>
      <w:r>
        <w:t>8. Избранные и административные исполнители</w:t>
      </w:r>
    </w:p>
    <w:p>
      <w:pPr>
        <w:widowControl/>
      </w:pPr>
      <w:r>
        <w:rPr>
          <w:i w:val="0"/>
        </w:rPr>
        <w:t>После избрания носителем режима подотчётной реализации становится тот субъект, чья декларация получила предусмотренное законом последствие. Он отвечает за публикацию плана, собственные решения, внесение проектов, организацию координации, данные и мотивировку изменений.</w:t>
      </w:r>
    </w:p>
    <w:p>
      <w:pPr>
        <w:widowControl/>
      </w:pPr>
      <w:r>
        <w:rPr>
          <w:i w:val="0"/>
        </w:rPr>
        <w:t>Административный исполнитель отвечает за законность, качество и своевременность порученного ему действия только в пределах полученных полномочий, ресурсов и служебной подчинённости. Он не несёт специальной ответственности за политическое обещание, которое не формировал и не может исполнить.</w:t>
      </w:r>
    </w:p>
    <w:p>
      <w:pPr>
        <w:widowControl/>
      </w:pPr>
      <w:r>
        <w:rPr>
          <w:i w:val="0"/>
        </w:rPr>
        <w:t>Назначение органа владельцем результата допустимо лишь при подтверждённой компетенции, доступе к необходимым данным, ресурсам и возможности влиять на критический путь. Заведомо фиктивное назначение отражается в реестре как нарушение субъекта, принявшего решение о назначении.</w:t>
      </w:r>
    </w:p>
    <w:p>
      <w:pPr>
        <w:pStyle w:val="Heading2"/>
        <w:keepNext/>
        <w:widowControl/>
      </w:pPr>
      <w:r>
        <w:t>9. Уровни общественного поручения</w:t>
      </w:r>
    </w:p>
    <w:p>
      <w:pPr>
        <w:widowControl/>
      </w:pPr>
      <w:r>
        <w:rPr>
          <w:i w:val="0"/>
        </w:rPr>
        <w:t>Общественное поручение формируется отдельно на муниципальном, региональном и государственном уровнях. Национальная адаптация может использовать иные уровни, соответствующие устройству страны, но обязана сохранять разграничение компетенций и самостоятельность местного самоуправления.</w:t>
      </w:r>
    </w:p>
    <w:p>
      <w:pPr>
        <w:widowControl/>
      </w:pPr>
      <w:r>
        <w:rPr>
          <w:i w:val="0"/>
        </w:rPr>
        <w:t>Действует правило:</w:t>
      </w:r>
    </w:p>
    <w:p>
      <w:pPr>
        <w:pStyle w:val="DoctrineQuote"/>
        <w:widowControl/>
      </w:pPr>
      <w:r>
        <w:rPr>
          <w:i w:val="0"/>
        </w:rPr>
        <w:t>Один пункт общественного поручения имеет один основной компетентный уровень. Совместная цель разлагается на самостоятельные действия каждого уровня и не превращается в приказ сверху вниз.</w:t>
      </w:r>
    </w:p>
    <w:p>
      <w:pPr>
        <w:widowControl/>
      </w:pPr>
      <w:r>
        <w:rPr>
          <w:i w:val="0"/>
        </w:rPr>
        <w:t>Муниципальный уровень охватывает вопросы местного значения и служит приоритетной площадкой для ранних пилотов только при добровольном участии территории, полном финансировании и отсутствии пониженного стандарта политических прав.</w:t>
      </w:r>
    </w:p>
    <w:p>
      <w:pPr>
        <w:widowControl/>
      </w:pPr>
      <w:r>
        <w:rPr>
          <w:i w:val="0"/>
        </w:rPr>
        <w:t>Региональный уровень охватывает вопросы региональной компетенции, межмуниципальной координации и иные задачи, прямо отнесённые правом к региону. Государственный уровень охватывает вопросы национальной компетенции и не используется для обхода регионального парламента, местной автономии или федеральных процедур.</w:t>
      </w:r>
    </w:p>
    <w:p>
      <w:pPr>
        <w:pStyle w:val="Heading2"/>
        <w:keepNext/>
        <w:widowControl/>
      </w:pPr>
      <w:r>
        <w:t>10. Паспорт компетенции</w:t>
      </w:r>
    </w:p>
    <w:p>
      <w:pPr>
        <w:widowControl/>
      </w:pPr>
      <w:r>
        <w:rPr>
          <w:i w:val="0"/>
        </w:rPr>
        <w:t>До перехода инициативы к финальному формированию для неё публикуется паспорт компетенции. Он не определяет политическую ценность и не создаёт новый уровень обязательности. Паспорт содержит как минимум:</w:t>
      </w:r>
    </w:p>
    <w:p>
      <w:pPr>
        <w:pStyle w:val="ListBullet"/>
        <w:widowControl/>
      </w:pPr>
      <w:r>
        <w:rPr>
          <w:i w:val="0"/>
        </w:rPr>
        <w:t>предмет и цель инициативы;</w:t>
      </w:r>
    </w:p>
    <w:p>
      <w:pPr>
        <w:pStyle w:val="ListBullet"/>
        <w:widowControl/>
      </w:pPr>
      <w:r>
        <w:rPr>
          <w:i w:val="0"/>
        </w:rPr>
        <w:t>основной компетентный уровень и конкретное правовое основание;</w:t>
      </w:r>
    </w:p>
    <w:p>
      <w:pPr>
        <w:pStyle w:val="ListBullet"/>
        <w:widowControl/>
      </w:pPr>
      <w:r>
        <w:rPr>
          <w:i w:val="0"/>
        </w:rPr>
        <w:t>основного политического адресата;</w:t>
      </w:r>
    </w:p>
    <w:p>
      <w:pPr>
        <w:pStyle w:val="ListBullet"/>
        <w:widowControl/>
      </w:pPr>
      <w:r>
        <w:rPr>
          <w:i w:val="0"/>
        </w:rPr>
        <w:t>собственные действия адресата;</w:t>
      </w:r>
    </w:p>
    <w:p>
      <w:pPr>
        <w:pStyle w:val="ListBullet"/>
        <w:widowControl/>
      </w:pPr>
      <w:r>
        <w:rPr>
          <w:i w:val="0"/>
        </w:rPr>
        <w:t>соадресатов и решения, которые находятся в их самостоятельной компетенции;</w:t>
      </w:r>
    </w:p>
    <w:p>
      <w:pPr>
        <w:pStyle w:val="ListBullet"/>
        <w:widowControl/>
      </w:pPr>
      <w:r>
        <w:rPr>
          <w:i w:val="0"/>
        </w:rPr>
        <w:t>необходимые законодательные, бюджетные, административные или договорные акты;</w:t>
      </w:r>
    </w:p>
    <w:p>
      <w:pPr>
        <w:pStyle w:val="ListBullet"/>
        <w:widowControl/>
      </w:pPr>
      <w:r>
        <w:rPr>
          <w:i w:val="0"/>
        </w:rPr>
        <w:t>затрагиваемые регионы, муниципалитеты и группы;</w:t>
      </w:r>
    </w:p>
    <w:p>
      <w:pPr>
        <w:pStyle w:val="ListBullet"/>
        <w:widowControl/>
      </w:pPr>
      <w:r>
        <w:rPr>
          <w:i w:val="0"/>
        </w:rPr>
        <w:t>первичный источник финансирования и возможное распределение расходов по уровням;</w:t>
      </w:r>
    </w:p>
    <w:p>
      <w:pPr>
        <w:pStyle w:val="ListBullet"/>
        <w:widowControl/>
      </w:pPr>
      <w:r>
        <w:rPr>
          <w:i w:val="0"/>
        </w:rPr>
        <w:t>контролируемые, совместно контролируемые и внешние факторы;</w:t>
      </w:r>
    </w:p>
    <w:p>
      <w:pPr>
        <w:pStyle w:val="ListBullet"/>
        <w:widowControl/>
      </w:pPr>
      <w:r>
        <w:rPr>
          <w:i w:val="0"/>
        </w:rPr>
        <w:t>правовой путь реализации и возможные конституционные ограничения;</w:t>
      </w:r>
    </w:p>
    <w:p>
      <w:pPr>
        <w:pStyle w:val="ListBullet"/>
        <w:widowControl/>
      </w:pPr>
      <w:r>
        <w:rPr>
          <w:i w:val="0"/>
        </w:rPr>
        <w:t>субъекта, подготовившего паспорт, использованные источники и возможность обжалования.</w:t>
      </w:r>
    </w:p>
    <w:p>
      <w:pPr>
        <w:widowControl/>
      </w:pPr>
      <w:r>
        <w:rPr>
          <w:i w:val="0"/>
        </w:rPr>
        <w:t>Спорная компетенция не является основанием для административного удаления политической темы. Если вопрос допускает несколько правомерных квалификаций, публикуются альтернативы и применяется ускоренное судебное разрешение до окончательного голосования.</w:t>
      </w:r>
    </w:p>
    <w:p>
      <w:pPr>
        <w:pStyle w:val="Heading2"/>
        <w:keepNext/>
        <w:widowControl/>
      </w:pPr>
      <w:r>
        <w:t>11. Совместная компетенция и межуровневые вопросы</w:t>
      </w:r>
    </w:p>
    <w:p>
      <w:pPr>
        <w:widowControl/>
      </w:pPr>
      <w:r>
        <w:rPr>
          <w:i w:val="0"/>
        </w:rPr>
        <w:t>Если цель требует решений нескольких органов или уровней, инициативу по возможности разделяют на самостоятельные пункты. Неразделимая цель сопровождается картой координации, в которой указаны отдельные решения, сроки, ресурсы и право каждого субъекта отказаться в пределах собственной компетенции с публичной мотивировкой.</w:t>
      </w:r>
    </w:p>
    <w:p>
      <w:pPr>
        <w:widowControl/>
      </w:pPr>
      <w:r>
        <w:rPr>
          <w:i w:val="0"/>
        </w:rPr>
        <w:t>Общественное утверждение цели на одном уровне:</w:t>
      </w:r>
    </w:p>
    <w:p>
      <w:pPr>
        <w:pStyle w:val="ListBullet"/>
        <w:widowControl/>
      </w:pPr>
      <w:r>
        <w:rPr>
          <w:i w:val="0"/>
        </w:rPr>
        <w:t>не создаёт обязанности другого уровня принять закон, выделить средства или изменить собственную политику;</w:t>
      </w:r>
    </w:p>
    <w:p>
      <w:pPr>
        <w:pStyle w:val="ListBullet"/>
        <w:widowControl/>
      </w:pPr>
      <w:r>
        <w:rPr>
          <w:i w:val="0"/>
        </w:rPr>
        <w:t>не отменяет обязательные консультации и согласования;</w:t>
      </w:r>
    </w:p>
    <w:p>
      <w:pPr>
        <w:pStyle w:val="ListBullet"/>
        <w:widowControl/>
      </w:pPr>
      <w:r>
        <w:rPr>
          <w:i w:val="0"/>
        </w:rPr>
        <w:t>не считается согласием населения другой территории;</w:t>
      </w:r>
    </w:p>
    <w:p>
      <w:pPr>
        <w:pStyle w:val="ListBullet"/>
        <w:widowControl/>
      </w:pPr>
      <w:r>
        <w:rPr>
          <w:i w:val="0"/>
        </w:rPr>
        <w:t>не позволяет одному уровню присвоить успех или переложить неудачу без раскрытия фактического распределения решений;</w:t>
      </w:r>
    </w:p>
    <w:p>
      <w:pPr>
        <w:pStyle w:val="ListBullet"/>
        <w:widowControl/>
      </w:pPr>
      <w:r>
        <w:rPr>
          <w:i w:val="0"/>
        </w:rPr>
        <w:t>не препятствует формированию самостоятельного поручения на затрагиваемом уровне.</w:t>
      </w:r>
    </w:p>
    <w:p>
      <w:pPr>
        <w:pStyle w:val="Heading2"/>
        <w:keepNext/>
        <w:widowControl/>
      </w:pPr>
      <w:r>
        <w:t>12. Запрет нефинансируемого и фиктивного делегирования</w:t>
      </w:r>
    </w:p>
    <w:p>
      <w:pPr>
        <w:widowControl/>
      </w:pPr>
      <w:r>
        <w:rPr>
          <w:i w:val="0"/>
        </w:rPr>
        <w:t>Нижестоящий уровень не становится обязанным только потому, что национальный или региональный политический субъект принял общественный пункт. Передача функции требует одновременного наличия правовой компетенции, предварительной консультации, согласия в предусмотренной законом форме, достаточного финансирования и реалистичного срока.</w:t>
      </w:r>
    </w:p>
    <w:p>
      <w:pPr>
        <w:widowControl/>
      </w:pPr>
      <w:r>
        <w:rPr>
          <w:i w:val="0"/>
        </w:rPr>
        <w:t>Если указанные условия отсутствуют, в реестре фиксируется не обязанность нижестоящего уровня, а обязанность инициирующего субъекта подготовить правовое и финансовое предложение. Политическая выгода от заявления цели не сопровождается переносом ответственности за результат.</w:t>
      </w:r>
    </w:p>
    <w:p>
      <w:pPr>
        <w:widowControl/>
      </w:pPr>
      <w:r>
        <w:rPr>
          <w:i w:val="0"/>
        </w:rPr>
        <w:t>Порядок финансирования не может быть сформулирован как неопределённое обещание «найти ресурсы». Раскрываются объём, источник, условия софинансирования, постоянные расходы и риск прекращения финансирования.</w:t>
      </w:r>
    </w:p>
    <w:p>
      <w:pPr>
        <w:pStyle w:val="Heading3"/>
        <w:keepNext/>
        <w:widowControl/>
      </w:pPr>
      <w:r>
        <w:t>12.1. Коллизионный протокол одновременных циклов</w:t>
      </w:r>
    </w:p>
    <w:p>
      <w:pPr>
        <w:widowControl/>
      </w:pPr>
      <w:r>
        <w:t>До начала одновременных национального, регионального и муниципального циклов публикуется коллизионная матрица. Она определяет исключительную, совместную и остаточную компетенцию, сроки взаимного уведомления, последствия несовместимых целей и порядок финансирования.</w:t>
      </w:r>
    </w:p>
    <w:p>
      <w:pPr>
        <w:widowControl/>
      </w:pPr>
      <w:r>
        <w:t>При конфликте приоритет имеет уровень, которому принадлежит соответствующая компетенция. Совместный пункт возникает только на основании явного соглашения компетентных уровней, раздельного указания собственных действий и подтверждённого финансирования. Каждый уровень сохраняет право опубликовать самостоятельную мотивированную позицию.</w:t>
      </w:r>
    </w:p>
    <w:p>
      <w:pPr>
        <w:pStyle w:val="Heading2"/>
        <w:keepNext/>
        <w:widowControl/>
      </w:pPr>
      <w:r>
        <w:t>13. Адаптация к формам правления и государственному устройству</w:t>
      </w:r>
    </w:p>
    <w:p>
      <w:pPr>
        <w:widowControl/>
      </w:pPr>
      <w:r>
        <w:rPr>
          <w:i w:val="0"/>
        </w:rPr>
        <w:t>В президентской модели основным политическим адресатом может быть кандидат на должность главы исполнительной власти, но его декларация не связывает парламент, суды и субъекты федерации. В смешанной модели отдельно раскрываются президентские и правительственные действия.</w:t>
      </w:r>
    </w:p>
    <w:p>
      <w:pPr>
        <w:widowControl/>
      </w:pPr>
      <w:r>
        <w:rPr>
          <w:i w:val="0"/>
        </w:rPr>
        <w:t>В парламентской модели общественное поручение адресуется партиям, избирательным объединениям и кандидатам в пределах национального права. После образования правительства публикуется коалиционная карта: какие позиции сохранены, изменены или отклонены и какое собственное действие принимает правительство.</w:t>
      </w:r>
    </w:p>
    <w:p>
      <w:pPr>
        <w:widowControl/>
      </w:pPr>
      <w:r>
        <w:rPr>
          <w:i w:val="0"/>
        </w:rPr>
        <w:t>В федерации каждый пункт проходит федеративный тест компетенции. Решение фундаментальной территориальной значимости может требовать дополнительного территориального большинства или участия верхней палаты, если это предусмотрено Конституцией. В унитарном государстве сохраняется запрет подменять местное самоуправление центральным поручением.</w:t>
      </w:r>
    </w:p>
    <w:p>
      <w:pPr>
        <w:pStyle w:val="Heading2"/>
        <w:keepNext/>
        <w:widowControl/>
      </w:pPr>
      <w:r>
        <w:t>14. Контроль, обжалование и ответственность</w:t>
      </w:r>
    </w:p>
    <w:p>
      <w:pPr>
        <w:widowControl/>
      </w:pPr>
      <w:r>
        <w:rPr>
          <w:i w:val="0"/>
        </w:rPr>
        <w:t>Обжалованию подлежат: ошибочное определение уровня, фиктивное назначение адресата, игнорирование затрагиваемого уровня, незаконное исключение участника, нарушение равенства каналов, сокрытие финансирования и создание нефинансируемой обязанности.</w:t>
      </w:r>
    </w:p>
    <w:p>
      <w:pPr>
        <w:widowControl/>
      </w:pPr>
      <w:r>
        <w:rPr>
          <w:i w:val="0"/>
        </w:rPr>
        <w:t>Решение о компетенции должно содержать конкретную норму права и не может основываться только на оценках целесообразности, удобства или государственного интереса. Суд вправе исправить правовую квалификацию или отменить незаконное решение, но не выбирает политическую цель за граждан.</w:t>
      </w:r>
    </w:p>
    <w:p>
      <w:pPr>
        <w:widowControl/>
      </w:pPr>
      <w:r>
        <w:rPr>
          <w:i w:val="0"/>
        </w:rPr>
        <w:t>Ответственность наступает по обычному праву за умышленное искажение компетенции, фальсификацию данных, сокрытие конфликта интересов, незаконное использование административного ресурса, дискриминацию и нарушение автономии уровня. Политическое несогласие с инициативой не является нарушением.</w:t>
      </w:r>
    </w:p>
    <w:p>
      <w:pPr>
        <w:pStyle w:val="Heading2"/>
        <w:keepNext/>
        <w:widowControl/>
      </w:pPr>
      <w:r>
        <w:t>15. Наиболее сильные возражения и встроенные ответы</w:t>
      </w:r>
    </w:p>
    <w:p>
      <w:pPr>
        <w:pStyle w:val="Heading3"/>
        <w:keepNext/>
        <w:widowControl/>
      </w:pPr>
      <w:r>
        <w:t>15.1. «Несколько мегаполисов сформируют поручение для всей страны»</w:t>
      </w:r>
    </w:p>
    <w:p>
      <w:pPr>
        <w:widowControl/>
      </w:pPr>
      <w:r>
        <w:rPr>
          <w:i w:val="0"/>
        </w:rPr>
        <w:t>Встроенный ответ. Результат сопровождается территориальными данными, а статус не преувеличивается при устойчивом перекосе. Вопросы региональной или местной компетенции не переходят на государственный уровень из-за численного превосходства населения крупных городов.</w:t>
      </w:r>
    </w:p>
    <w:p>
      <w:pPr>
        <w:pStyle w:val="Heading3"/>
        <w:keepNext/>
        <w:widowControl/>
      </w:pPr>
      <w:r>
        <w:t>15.2. «Совместную цель невозможно привязать к одному уровню»</w:t>
      </w:r>
    </w:p>
    <w:p>
      <w:pPr>
        <w:widowControl/>
      </w:pPr>
      <w:r>
        <w:rPr>
          <w:i w:val="0"/>
        </w:rPr>
        <w:t>Встроенный ответ. Правило одного уровня относится к основному юридическому действию, а не к отрицанию взаимозависимости. Неразделимые вопросы получают карту самостоятельных решений нескольких субъектов без фиктивного единого ответственного.</w:t>
      </w:r>
    </w:p>
    <w:p>
      <w:pPr>
        <w:pStyle w:val="Heading3"/>
        <w:keepNext/>
        <w:widowControl/>
      </w:pPr>
      <w:r>
        <w:t>15.3. «Коллективные организации захватят право инициативы»</w:t>
      </w:r>
    </w:p>
    <w:p>
      <w:pPr>
        <w:widowControl/>
      </w:pPr>
      <w:r>
        <w:rPr>
          <w:i w:val="0"/>
        </w:rPr>
        <w:t>Встроенный ответ. Организации не получают более сильного голоса; раскрывается профессиональная координация и крупное финансирование; пороги подтверждаются индивидуальными правами участия, защищёнными от передачи организатору.</w:t>
      </w:r>
    </w:p>
    <w:p>
      <w:pPr>
        <w:pStyle w:val="Heading3"/>
        <w:keepNext/>
        <w:widowControl/>
      </w:pPr>
      <w:r>
        <w:t>15.4. «Различие статусов участников дискриминационно»</w:t>
      </w:r>
    </w:p>
    <w:p>
      <w:pPr>
        <w:widowControl/>
      </w:pPr>
      <w:r>
        <w:rPr>
          <w:i w:val="0"/>
        </w:rPr>
        <w:t>Встроенный ответ. Доктрина максимально расширяет право быть услышанным, но не объявляет все формы участия тождественными суверенному голосу. Конкретные различия требуют конституционного основания, ясного объяснения и проверки соразмерности.</w:t>
      </w:r>
    </w:p>
    <w:p>
      <w:pPr>
        <w:pStyle w:val="Heading2"/>
        <w:keepNext/>
        <w:widowControl/>
      </w:pPr>
      <w:r>
        <w:t>16. Связь с другими главами и вывод</w:t>
      </w:r>
    </w:p>
    <w:p>
      <w:pPr>
        <w:widowControl/>
      </w:pPr>
      <w:r>
        <w:rPr>
          <w:i w:val="0"/>
        </w:rPr>
        <w:t>Глава VII определяет авторов решений и сокращённый цикл. Глава VIII распределяет функции между существующими и временными институтами. Глава IX устанавливает защиту от захвата. Главы X–XIX конкретизируют инициативу, поддержку, редакцию, экспертизу, отбор и голосование в пределах настоящей карты субъектов и компетенций.</w:t>
      </w:r>
    </w:p>
    <w:p>
      <w:pPr>
        <w:pStyle w:val="DoctrineQuote"/>
        <w:widowControl/>
      </w:pPr>
      <w:r>
        <w:rPr>
          <w:i w:val="0"/>
        </w:rPr>
        <w:t>Общественное поручение не создаёт надгосударственного субъекта и не стирает компетенции. Оно делает видимым, кто вправе определить цель, кто принимает собственное действие, от кого зависит результат и кто отвечает за каждое решение.</w:t>
      </w:r>
    </w:p>
    <w:p>
      <w:pPr>
        <w:widowControl/>
      </w:pPr>
      <w:r>
        <w:br w:type="page"/>
      </w:r>
    </w:p>
    <w:p>
      <w:pPr>
        <w:pStyle w:val="Heading1"/>
        <w:keepNext/>
        <w:pageBreakBefore/>
        <w:spacing w:before="0" w:after="160"/>
        <w:widowControl/>
        <w:pBdr>
          <w:bottom w:val="single" w:sz="5" w:space="4" w:color="B4C6E7"/>
        </w:pBdr>
      </w:pPr>
      <w:r>
        <w:t>Глава VII. Распределение ролей, полномочий и ответственности в полном цикле общественного поручения</w:t>
      </w:r>
    </w:p>
    <w:p>
      <w:pPr>
        <w:pStyle w:val="Heading2"/>
        <w:keepNext/>
        <w:widowControl/>
      </w:pPr>
      <w:r>
        <w:t>1. Предмет и цель</w:t>
      </w:r>
    </w:p>
    <w:p>
      <w:pPr>
        <w:widowControl/>
      </w:pPr>
      <w:r>
        <w:rPr>
          <w:i w:val="0"/>
        </w:rPr>
        <w:t>Настоящая глава устанавливает сокращённый полный цикл общественного поручения, распределяет функциональные роли, определяет несовместимость полномочий, закрепляет авторство решений, единый календарь, порядок обжалования и последствия процедурных нарушений.</w:t>
      </w:r>
    </w:p>
    <w:p>
      <w:pPr>
        <w:widowControl/>
      </w:pPr>
      <w:r>
        <w:rPr>
          <w:i w:val="0"/>
        </w:rPr>
        <w:t>Цель главы — исключить растворение ответственности в длинной цепочке посредников. Каждое решение, способное изменить доступ инициативы к следующей стадии, её смысл, правовой статус, способ представления, результат голосования или последующую оценку, должно иметь установленного автора, правовое основание, доказательственную базу, срок действия, контролирующего субъекта и реальный путь исправления.</w:t>
      </w:r>
    </w:p>
    <w:p>
      <w:pPr>
        <w:pStyle w:val="Heading2"/>
        <w:keepNext/>
        <w:widowControl/>
      </w:pPr>
      <w:r>
        <w:t>2. Девять укрупнённых стадий полного цикла</w:t>
      </w:r>
    </w:p>
    <w:p>
      <w:pPr>
        <w:widowControl/>
      </w:pPr>
      <w:r>
        <w:rPr>
          <w:i w:val="0"/>
        </w:rPr>
        <w:t>Полный национальный цикл состоит не из неопределённого множества ведомственных шлюзов, а из девяти укрупнённых стадий. Внутренние технические операции не образуют самостоятельной политико-правовой стадии и не могут использоваться для скрытого изменения результата.</w:t>
      </w:r>
    </w:p>
    <w:tbl>
      <w:tblPr>
        <w:tblW w:type="auto" w:w="0"/>
        <w:jc w:val="center"/>
        <w:tblLayout w:type="autofit"/>
        <w:tblLook w:firstColumn="1" w:firstRow="1" w:lastColumn="0" w:lastRow="0" w:noHBand="0" w:noVBand="1" w:val="04A0"/>
      </w:tblPr>
      <w:tblGrid>
        <w:gridCol w:w="3222"/>
        <w:gridCol w:w="3222"/>
        <w:gridCol w:w="3222"/>
      </w:tblGrid>
      <w:tr>
        <w:trPr>
          <w:tblHeader w:val="true"/>
          <w:cantSplit/>
          <w:tblHeader w:val="true"/>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Стадия</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Обязательный результат</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1</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Инициатива и регистрация</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Неизменяемый исходный текст, минимальная формальная проверка, защищённая регистрация авторства, профессиональной координации и финансирования.</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2</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Компетенция и узкая правовая проверка</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Паспорт компетенции, закрытый перечень правовых оснований, ускоренный судебный контроль до необратимого исключения.</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3</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Поддержка, кластеризация и редакционная подготовка</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Индивидуально подтверждённая поддержка, публичная карта сходства, версии «до/после», контроль автора над содержательным изменением.</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4</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Раскрытие последствий и общественное обсуждение</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Пропорциональная экспертиза, альтернативные сценарии, диапазоны неопределённости и структурированное представление разногласий.</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5</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Формирование ограниченного перечня</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Заранее объявленный нейтральный механизм ограничения числа тем без закрытого содержательного ранжирования постоянным органом.</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6</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Финальное общественное голосование или ранжирование</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Равный голос, понятные независимые вопросы, тайна, проверяемость, резервный канал и заранее объявленный правовой статус результата.</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7</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Декларации кандидатов и официальное информирование</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Полные ответы кандидатов в сопоставимой форме, публикация исходного текста без официального толкования политического смысла.</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8</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Реестр реализации, план и мониторинг</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Действия в собственной компетенции, исходные данные, версии методик, изменения и мотивированные причины отклонения.</w:t>
            </w:r>
          </w:p>
        </w:tc>
      </w:tr>
      <w:tr>
        <w:trPr>
          <w:cantSplit/>
        </w:trPr>
        <w:tc>
          <w:tcPr>
            <w:tcW w:type="dxa" w:w="45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9</w:t>
            </w:r>
          </w:p>
        </w:tc>
        <w:tc>
          <w:tcPr>
            <w:tcW w:type="dxa" w:w="260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Многоголосая оценка и институциональная память</w:t>
            </w:r>
          </w:p>
        </w:tc>
        <w:tc>
          <w:tcPr>
            <w:tcW w:type="dxa" w:w="6350"/>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Проверяемые факты, альтернативные заключения, право на ответ, отсутствие единого официального балла и специальных санкций за политический результат.</w:t>
            </w:r>
          </w:p>
        </w:tc>
      </w:tr>
    </w:tbl>
    <w:p>
      <w:pPr>
        <w:widowControl/>
      </w:pPr>
    </w:p>
    <w:p>
      <w:pPr>
        <w:pStyle w:val="Heading2"/>
        <w:keepNext/>
        <w:widowControl/>
      </w:pPr>
      <w:r>
        <w:t>3. Функциональные роли</w:t>
      </w:r>
    </w:p>
    <w:p>
      <w:pPr>
        <w:widowControl/>
      </w:pPr>
      <w:r>
        <w:rPr>
          <w:i w:val="0"/>
        </w:rPr>
        <w:t>Один субъект может выполнять несколько технически совместимых функций только при отсутствии конфликта интересов, доступа к связывающим данным и возможности влиять на политическое содержание. В системе различаются следующие роли:</w:t>
      </w:r>
    </w:p>
    <w:p>
      <w:pPr>
        <w:pStyle w:val="ListBullet"/>
        <w:widowControl/>
      </w:pPr>
      <w:r>
        <w:rPr>
          <w:i w:val="0"/>
        </w:rPr>
        <w:t>инициатор — формулирует исходную проблему или предложение и сохраняет право на смысловую целостность исходного текста;</w:t>
      </w:r>
    </w:p>
    <w:p>
      <w:pPr>
        <w:pStyle w:val="ListBullet"/>
        <w:widowControl/>
      </w:pPr>
      <w:r>
        <w:t>процессный координатор — ведёт замороженный календарь и маршрутизацию, но не совмещает технический приём, независимую валидацию и юридическое решение об отказе;</w:t>
      </w:r>
    </w:p>
    <w:p>
      <w:pPr>
        <w:pStyle w:val="ListBullet"/>
        <w:widowControl/>
      </w:pPr>
      <w:r>
        <w:rPr>
          <w:i w:val="0"/>
        </w:rPr>
        <w:t>регистрационный оператор — принимает материалы, присваивает идентификаторы и проверяет минимальные формальные реквизиты;</w:t>
      </w:r>
    </w:p>
    <w:p>
      <w:pPr>
        <w:pStyle w:val="ListBullet"/>
        <w:widowControl/>
      </w:pPr>
      <w:r>
        <w:rPr>
          <w:i w:val="0"/>
        </w:rPr>
        <w:t>временная редакционная панель — помогает обеспечить ясность, перевод, доступность и дедупликацию с сохранением исходного текста и истории изменений;</w:t>
      </w:r>
    </w:p>
    <w:p>
      <w:pPr>
        <w:pStyle w:val="ListBullet"/>
        <w:widowControl/>
      </w:pPr>
      <w:r>
        <w:rPr>
          <w:i w:val="0"/>
        </w:rPr>
        <w:t>эксперты по последствиям — раскрывают правовые, бюджетные, социальные, экологические, технологические и иные эффекты без права политического вето;</w:t>
      </w:r>
    </w:p>
    <w:p>
      <w:pPr>
        <w:pStyle w:val="ListBullet"/>
        <w:widowControl/>
      </w:pPr>
      <w:r>
        <w:rPr>
          <w:i w:val="0"/>
        </w:rPr>
        <w:t>субъект правовой проверки — применяет закрытый перечень оснований недопустимости, при этом окончательность существенного отказа принадлежит суду;</w:t>
      </w:r>
    </w:p>
    <w:p>
      <w:pPr>
        <w:pStyle w:val="ListBullet"/>
        <w:widowControl/>
      </w:pPr>
      <w:r>
        <w:rPr>
          <w:i w:val="0"/>
        </w:rPr>
        <w:t>организатор общественного голосования — обеспечивает равенство, тайну, подсчёт, наблюдение и официальное установление результата;</w:t>
      </w:r>
    </w:p>
    <w:p>
      <w:pPr>
        <w:pStyle w:val="ListBullet"/>
        <w:widowControl/>
      </w:pPr>
      <w:r>
        <w:rPr>
          <w:i w:val="0"/>
        </w:rPr>
        <w:t>технический оператор — поддерживает отдельный технологический компонент и не совмещает управление идентификацией, политическим действием, подсчётом и сертификацией;</w:t>
      </w:r>
    </w:p>
    <w:p>
      <w:pPr>
        <w:pStyle w:val="ListBullet"/>
        <w:widowControl/>
      </w:pPr>
      <w:r>
        <w:rPr>
          <w:i w:val="0"/>
        </w:rPr>
        <w:t>политический исполнитель — избранное лицо, партия или коалиция, представляющие собственную позицию и принимающие процедурные обязанности в пределах компетенции;</w:t>
      </w:r>
    </w:p>
    <w:p>
      <w:pPr>
        <w:pStyle w:val="ListBullet"/>
        <w:widowControl/>
      </w:pPr>
      <w:r>
        <w:rPr>
          <w:i w:val="0"/>
        </w:rPr>
        <w:t>административные исполнители — органы, реализующие законно принятые решения в пределах бюджета и полномочий;</w:t>
      </w:r>
    </w:p>
    <w:p>
      <w:pPr>
        <w:pStyle w:val="ListBullet"/>
        <w:widowControl/>
      </w:pPr>
      <w:r>
        <w:rPr>
          <w:i w:val="0"/>
        </w:rPr>
        <w:t>аудитор, омбудсмен и суд — независимо проверяют соответственно данные и процессы, права и доступность, законность и эффективное средство защиты;</w:t>
      </w:r>
    </w:p>
    <w:p>
      <w:pPr>
        <w:pStyle w:val="ListBullet"/>
        <w:widowControl/>
      </w:pPr>
      <w:r>
        <w:rPr>
          <w:i w:val="0"/>
        </w:rPr>
        <w:t>временные оценочные консорциумы — готовят доказательные и плюралистические оценки без монополии на окончательную политическую истину.</w:t>
      </w:r>
    </w:p>
    <w:p>
      <w:pPr>
        <w:pStyle w:val="Heading2"/>
        <w:keepNext/>
        <w:widowControl/>
      </w:pPr>
      <w:r>
        <w:t>4. Несовместимость функций</w:t>
      </w:r>
    </w:p>
    <w:p>
      <w:pPr>
        <w:widowControl/>
      </w:pPr>
      <w:r>
        <w:rPr>
          <w:i w:val="0"/>
        </w:rPr>
        <w:t>Несовместимость является не этическим пожеланием, а обязательной архитектурной гарантией. Один и тот же субъект, его контролирующая организация или зависимый подрядчик не могут одновременно:</w:t>
      </w:r>
    </w:p>
    <w:p>
      <w:pPr>
        <w:pStyle w:val="ListBullet"/>
        <w:widowControl/>
      </w:pPr>
      <w:r>
        <w:rPr>
          <w:i w:val="0"/>
        </w:rPr>
        <w:t>редактировать политический смысл инициативы и принимать окончательное решение о её правовой допустимости;</w:t>
      </w:r>
    </w:p>
    <w:p>
      <w:pPr>
        <w:pStyle w:val="ListBullet"/>
        <w:widowControl/>
      </w:pPr>
      <w:r>
        <w:rPr>
          <w:i w:val="0"/>
        </w:rPr>
        <w:t>проводить оценку последствий и использовать её как скрытое основание для содержательного исключения инициативы;</w:t>
      </w:r>
    </w:p>
    <w:p>
      <w:pPr>
        <w:pStyle w:val="ListBullet"/>
        <w:widowControl/>
      </w:pPr>
      <w:r>
        <w:rPr>
          <w:i w:val="0"/>
        </w:rPr>
        <w:t>организовывать голосование и вести агитацию за один из вариантов;</w:t>
      </w:r>
    </w:p>
    <w:p>
      <w:pPr>
        <w:pStyle w:val="ListBullet"/>
        <w:widowControl/>
      </w:pPr>
      <w:r>
        <w:rPr>
          <w:i w:val="0"/>
        </w:rPr>
        <w:t>владеть идентификационными данными и журналом конкретных политических действий;</w:t>
      </w:r>
    </w:p>
    <w:p>
      <w:pPr>
        <w:pStyle w:val="ListBullet"/>
        <w:widowControl/>
      </w:pPr>
      <w:r>
        <w:rPr>
          <w:i w:val="0"/>
        </w:rPr>
        <w:t>эксплуатировать критическую цифровую систему и единолично сертифицировать её безопасность либо устанавливать результат;</w:t>
      </w:r>
    </w:p>
    <w:p>
      <w:pPr>
        <w:pStyle w:val="ListBullet"/>
        <w:widowControl/>
      </w:pPr>
      <w:r>
        <w:rPr>
          <w:i w:val="0"/>
        </w:rPr>
        <w:t>вести текущий фактический мониторинг и обладать монополией на итоговую политическую оценку;</w:t>
      </w:r>
    </w:p>
    <w:p>
      <w:pPr>
        <w:pStyle w:val="ListBullet"/>
        <w:widowControl/>
      </w:pPr>
      <w:r>
        <w:rPr>
          <w:i w:val="0"/>
        </w:rPr>
        <w:t>формировать состав апелляционного органа и одновременно быть стороной обжалуемого решения;</w:t>
      </w:r>
    </w:p>
    <w:p>
      <w:pPr>
        <w:pStyle w:val="ListBullet"/>
        <w:widowControl/>
      </w:pPr>
      <w:r>
        <w:rPr>
          <w:i w:val="0"/>
        </w:rPr>
        <w:t>финансировать официальную функцию в частном порядке и получать влияние на её методику, состав или порядок публикации.</w:t>
      </w:r>
    </w:p>
    <w:p>
      <w:pPr>
        <w:widowControl/>
      </w:pPr>
      <w:r>
        <w:rPr>
          <w:i w:val="0"/>
        </w:rPr>
        <w:t>Нарушение установленной несовместимости влечёт отвод, отмену решения при доказанном влиянии на результат, повтор соответствующей стадии и ответственность за сокрытие конфликта интересов.</w:t>
      </w:r>
    </w:p>
    <w:p>
      <w:pPr>
        <w:pStyle w:val="Heading2"/>
        <w:keepNext/>
        <w:widowControl/>
      </w:pPr>
      <w:r>
        <w:t>5. Паспорт значимого решения</w:t>
      </w:r>
    </w:p>
    <w:p>
      <w:pPr>
        <w:widowControl/>
      </w:pPr>
      <w:r>
        <w:rPr>
          <w:i w:val="0"/>
        </w:rPr>
        <w:t>Каждое значимое решение оформляется в стандартизированном паспорте. Отсутствие обязательного реквизита является самостоятельным процедурным дефектом. Паспорт включает:</w:t>
      </w:r>
    </w:p>
    <w:p>
      <w:pPr>
        <w:pStyle w:val="ListBullet"/>
        <w:widowControl/>
      </w:pPr>
      <w:r>
        <w:rPr>
          <w:i w:val="0"/>
        </w:rPr>
        <w:t>уникальный идентификатор, дату, версию и наименование стадии;</w:t>
      </w:r>
    </w:p>
    <w:p>
      <w:pPr>
        <w:pStyle w:val="ListBullet"/>
        <w:widowControl/>
      </w:pPr>
      <w:r>
        <w:rPr>
          <w:i w:val="0"/>
        </w:rPr>
        <w:t>имя или проверяемый состав автора решения, его функцию и сведения об отводах;</w:t>
      </w:r>
    </w:p>
    <w:p>
      <w:pPr>
        <w:pStyle w:val="ListBullet"/>
        <w:widowControl/>
      </w:pPr>
      <w:r>
        <w:rPr>
          <w:i w:val="0"/>
        </w:rPr>
        <w:t>точное правовое основание и пределы компетенции;</w:t>
      </w:r>
    </w:p>
    <w:p>
      <w:pPr>
        <w:pStyle w:val="ListBullet"/>
        <w:widowControl/>
      </w:pPr>
      <w:r>
        <w:rPr>
          <w:i w:val="0"/>
        </w:rPr>
        <w:t>описание затронутого права, инициативы, субъекта или уровня власти;</w:t>
      </w:r>
    </w:p>
    <w:p>
      <w:pPr>
        <w:pStyle w:val="ListBullet"/>
        <w:widowControl/>
      </w:pPr>
      <w:r>
        <w:rPr>
          <w:i w:val="0"/>
        </w:rPr>
        <w:t>использованные данные, источники, модели и их ограничения;</w:t>
      </w:r>
    </w:p>
    <w:p>
      <w:pPr>
        <w:pStyle w:val="ListBullet"/>
        <w:widowControl/>
      </w:pPr>
      <w:r>
        <w:rPr>
          <w:i w:val="0"/>
        </w:rPr>
        <w:t>рассмотренные альтернативы, существенные возражения и причины их отклонения;</w:t>
      </w:r>
    </w:p>
    <w:p>
      <w:pPr>
        <w:pStyle w:val="ListBullet"/>
        <w:widowControl/>
      </w:pPr>
      <w:r>
        <w:rPr>
          <w:i w:val="0"/>
        </w:rPr>
        <w:t>мотивировку, позволяющую воспроизвести ход решения без доступа к нераскрытому усмотрению;</w:t>
      </w:r>
    </w:p>
    <w:p>
      <w:pPr>
        <w:pStyle w:val="ListBullet"/>
        <w:widowControl/>
      </w:pPr>
      <w:r>
        <w:rPr>
          <w:i w:val="0"/>
        </w:rPr>
        <w:t>срок действия, следующую стадию и автоматические последствия пропуска срока;</w:t>
      </w:r>
    </w:p>
    <w:p>
      <w:pPr>
        <w:pStyle w:val="ListBullet"/>
        <w:widowControl/>
      </w:pPr>
      <w:r>
        <w:rPr>
          <w:i w:val="0"/>
        </w:rPr>
        <w:t>порядок, срок и субъект обжалования;</w:t>
      </w:r>
    </w:p>
    <w:p>
      <w:pPr>
        <w:pStyle w:val="ListBullet"/>
        <w:widowControl/>
      </w:pPr>
      <w:r>
        <w:rPr>
          <w:i w:val="0"/>
        </w:rPr>
        <w:t>правовые и процедурные последствия отмены или изменения решения.</w:t>
      </w:r>
    </w:p>
    <w:p>
      <w:pPr>
        <w:widowControl/>
      </w:pPr>
      <w:r>
        <w:rPr>
          <w:i w:val="0"/>
        </w:rPr>
        <w:t>Если отдельные данные законно ограничены, публикуется максимально содержательное открытое резюме, а полный материал предоставляется независимому допущенному контролёру и суду. Секретность не устраняет обязанность мотивировать решение.</w:t>
      </w:r>
    </w:p>
    <w:p>
      <w:pPr>
        <w:pStyle w:val="Heading2"/>
        <w:keepNext/>
        <w:widowControl/>
      </w:pPr>
      <w:r>
        <w:t>6. Единый процессный координатор</w:t>
      </w:r>
    </w:p>
    <w:p>
      <w:pPr>
        <w:widowControl/>
      </w:pPr>
      <w:r>
        <w:rPr>
          <w:i w:val="0"/>
        </w:rPr>
        <w:t>Для устранения дублирования в каждом цикле определяется один процессный координатор. Он может размещаться в существующей публичной службе либо во временном секретариате, но не становится собственником общественного поручения.</w:t>
      </w:r>
    </w:p>
    <w:p>
      <w:pPr>
        <w:widowControl/>
      </w:pPr>
      <w:r>
        <w:rPr>
          <w:i w:val="0"/>
        </w:rPr>
        <w:t>Координатор вправе:</w:t>
      </w:r>
    </w:p>
    <w:p>
      <w:pPr>
        <w:pStyle w:val="ListBullet"/>
        <w:widowControl/>
      </w:pPr>
      <w:r>
        <w:rPr>
          <w:i w:val="0"/>
        </w:rPr>
        <w:t>утверждать и публиковать согласованный календарь в пределах закона;</w:t>
      </w:r>
    </w:p>
    <w:p>
      <w:pPr>
        <w:pStyle w:val="ListBullet"/>
        <w:widowControl/>
      </w:pPr>
      <w:r>
        <w:rPr>
          <w:i w:val="0"/>
        </w:rPr>
        <w:t>поддерживать единое окно подачи и получения уведомлений;</w:t>
      </w:r>
    </w:p>
    <w:p>
      <w:pPr>
        <w:pStyle w:val="ListBullet"/>
        <w:widowControl/>
      </w:pPr>
      <w:r>
        <w:rPr>
          <w:i w:val="0"/>
        </w:rPr>
        <w:t>маршрутизировать документы между компетентными субъектами;</w:t>
      </w:r>
    </w:p>
    <w:p>
      <w:pPr>
        <w:pStyle w:val="ListBullet"/>
        <w:widowControl/>
      </w:pPr>
      <w:r>
        <w:rPr>
          <w:i w:val="0"/>
        </w:rPr>
        <w:t>автоматически предупреждать о сроках и фиксировать задержки;</w:t>
      </w:r>
    </w:p>
    <w:p>
      <w:pPr>
        <w:pStyle w:val="ListBullet"/>
        <w:widowControl/>
      </w:pPr>
      <w:r>
        <w:rPr>
          <w:i w:val="0"/>
        </w:rPr>
        <w:t>вести каталог версий и технический журнал движения материалов;</w:t>
      </w:r>
    </w:p>
    <w:p>
      <w:pPr>
        <w:pStyle w:val="ListBullet"/>
        <w:widowControl/>
      </w:pPr>
      <w:r>
        <w:rPr>
          <w:i w:val="0"/>
        </w:rPr>
        <w:t>обеспечивать совместимость форматов данных и публичных идентификаторов;</w:t>
      </w:r>
    </w:p>
    <w:p>
      <w:pPr>
        <w:pStyle w:val="ListBullet"/>
        <w:widowControl/>
      </w:pPr>
      <w:r>
        <w:rPr>
          <w:i w:val="0"/>
        </w:rPr>
        <w:t>созывать технические координационные совещания с открытым протоколом;</w:t>
      </w:r>
    </w:p>
    <w:p>
      <w:pPr>
        <w:pStyle w:val="ListBullet"/>
        <w:widowControl/>
      </w:pPr>
      <w:r>
        <w:rPr>
          <w:i w:val="0"/>
        </w:rPr>
        <w:t>публиковать нейтральное процессное резюме без оценки политического содержания.</w:t>
      </w:r>
    </w:p>
    <w:p>
      <w:pPr>
        <w:widowControl/>
      </w:pPr>
      <w:r>
        <w:rPr>
          <w:i w:val="0"/>
        </w:rPr>
        <w:t>Координатору запрещено изменять смысл инициативы, определять её общественную желательность, окончательно решать вопрос правовой допустимости, устанавливать результат голосования, квалифицировать политическую позицию кандидата или выносить итоговый вердикт об исполнении.</w:t>
      </w:r>
    </w:p>
    <w:p>
      <w:pPr>
        <w:widowControl/>
      </w:pPr>
      <w:r>
        <w:t>Технический приём, формальная валидация и окончательный отказ разделяются между функционально независимыми субъектами. Дефектная подача по умолчанию продолжает движение с публичной отметкой и сроком исправления. Окончательный отказ возможен только отдельным мотивированным актом другого субъекта.</w:t>
      </w:r>
    </w:p>
    <w:p>
      <w:pPr>
        <w:widowControl/>
      </w:pPr>
      <w:r>
        <w:t>Правила версий, порядка публикации, уведомлений и технических сроков замораживаются до цикла. Любое ручное исключение требует двойного подтверждения, немедленной публикации и права на ускоренное обжалование. Координатор не обладает единоличной операцией, способной удалить, скрыть, задержать либо изменить политический объект.</w:t>
      </w:r>
    </w:p>
    <w:p>
      <w:pPr>
        <w:pStyle w:val="Heading2"/>
        <w:keepNext/>
        <w:widowControl/>
      </w:pPr>
      <w:r>
        <w:t>7. Сроки, продление и последствия молчания</w:t>
      </w:r>
    </w:p>
    <w:p>
      <w:pPr>
        <w:widowControl/>
      </w:pPr>
      <w:r>
        <w:rPr>
          <w:i w:val="0"/>
        </w:rPr>
        <w:t>Каждая стадия имеет установленный законом или заранее опубликованным регламентом срок. Продление допускается однократно, на минимально необходимый период и только с указанием конкретного факта, объёма незавершённой работы и новой конечной даты.</w:t>
      </w:r>
    </w:p>
    <w:p>
      <w:pPr>
        <w:widowControl/>
      </w:pPr>
      <w:r>
        <w:rPr>
          <w:i w:val="0"/>
        </w:rPr>
        <w:t>Пропуск срока не передаёт спорное полномочие координатору и не создаёт фиктивного согласия. В зависимости от характера решения автоматически наступает одно или несколько последствий:</w:t>
      </w:r>
    </w:p>
    <w:p>
      <w:pPr>
        <w:pStyle w:val="ListBullet"/>
        <w:widowControl/>
      </w:pPr>
      <w:r>
        <w:rPr>
          <w:i w:val="0"/>
        </w:rPr>
        <w:t>подключение заранее определённого резервного совместимого субъекта;</w:t>
      </w:r>
    </w:p>
    <w:p>
      <w:pPr>
        <w:pStyle w:val="ListBullet"/>
        <w:widowControl/>
      </w:pPr>
      <w:r>
        <w:rPr>
          <w:i w:val="0"/>
        </w:rPr>
        <w:t>право на ускоренную жалобу без дополнительного досудебного ожидания;</w:t>
      </w:r>
    </w:p>
    <w:p>
      <w:pPr>
        <w:pStyle w:val="ListBullet"/>
        <w:widowControl/>
      </w:pPr>
      <w:r>
        <w:rPr>
          <w:i w:val="0"/>
        </w:rPr>
        <w:t>публичная маркировка задержки и её автора;</w:t>
      </w:r>
    </w:p>
    <w:p>
      <w:pPr>
        <w:pStyle w:val="ListBullet"/>
        <w:widowControl/>
      </w:pPr>
      <w:r>
        <w:rPr>
          <w:i w:val="0"/>
        </w:rPr>
        <w:t>продолжение цикла без необязательного консультативного заключения, если это не нарушает права и не искажает вопрос;</w:t>
      </w:r>
    </w:p>
    <w:p>
      <w:pPr>
        <w:pStyle w:val="ListBullet"/>
        <w:widowControl/>
      </w:pPr>
      <w:r>
        <w:rPr>
          <w:i w:val="0"/>
        </w:rPr>
        <w:t>временная остановка только той операции, продолжение которой способно причинить необратимый вред правам, тайне или достоверности результата.</w:t>
      </w:r>
    </w:p>
    <w:p>
      <w:pPr>
        <w:widowControl/>
      </w:pPr>
      <w:r>
        <w:rPr>
          <w:i w:val="0"/>
        </w:rPr>
        <w:t>Молчание не считается согласием в вопросах ограничения прав, тайны участия, правовой недопустимости, изменения смысла инициативы или признания результата голосования.</w:t>
      </w:r>
    </w:p>
    <w:p>
      <w:pPr>
        <w:pStyle w:val="Heading2"/>
        <w:keepNext/>
        <w:widowControl/>
      </w:pPr>
      <w:r>
        <w:t>8. Риск-ориентированная глубина процедур</w:t>
      </w:r>
    </w:p>
    <w:p>
      <w:pPr>
        <w:widowControl/>
      </w:pPr>
      <w:r>
        <w:rPr>
          <w:i w:val="0"/>
        </w:rPr>
        <w:t>Требования к экспертизе и контролю соразмеряются не политической популярности, а проверяемому риску. Устанавливаются четыре уровня:</w:t>
      </w:r>
    </w:p>
    <w:tbl>
      <w:tblPr>
        <w:tblW w:type="auto" w:w="0"/>
        <w:jc w:val="center"/>
        <w:tblLayout w:type="autofit"/>
        <w:tblLook w:firstColumn="1" w:firstRow="1" w:lastColumn="0" w:lastRow="0" w:noHBand="0" w:noVBand="1" w:val="04A0"/>
      </w:tblPr>
      <w:tblGrid>
        <w:gridCol w:w="3222"/>
        <w:gridCol w:w="3222"/>
        <w:gridCol w:w="3222"/>
      </w:tblGrid>
      <w:tr>
        <w:trPr>
          <w:tblHeader w:val="true"/>
          <w:cantSplit/>
          <w:tblHeader w:val="true"/>
        </w:trPr>
        <w:tc>
          <w:tcPr>
            <w:tcW w:type="dxa" w:w="113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Уровень</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Характер вопроса</w:t>
            </w:r>
          </w:p>
        </w:tc>
        <w:tc>
          <w:tcPr>
            <w:tcW w:type="dxa" w:w="430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Минимальная глубина</w:t>
            </w:r>
          </w:p>
        </w:tc>
      </w:tr>
      <w:tr>
        <w:trPr>
          <w:cantSplit/>
        </w:trPr>
        <w:tc>
          <w:tcPr>
            <w:tcW w:type="dxa" w:w="113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Базовый</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Ограниченные последствия, обратимость, малый бюджет, отсутствие чувствительных прав и данных.</w:t>
            </w:r>
          </w:p>
        </w:tc>
        <w:tc>
          <w:tcPr>
            <w:tcW w:type="dxa" w:w="430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Стандартная карточка, краткое раскрытие компетенции и стоимости, обычное обсуждение.</w:t>
            </w:r>
          </w:p>
        </w:tc>
      </w:tr>
      <w:tr>
        <w:trPr>
          <w:cantSplit/>
        </w:trPr>
        <w:tc>
          <w:tcPr>
            <w:tcW w:type="dxa" w:w="113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Повышенный</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Межведомственная зависимость, заметные расходы, распределительные эффекты либо уязвимые группы.</w:t>
            </w:r>
          </w:p>
        </w:tc>
        <w:tc>
          <w:tcPr>
            <w:tcW w:type="dxa" w:w="430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Альтернативные сценарии, правозащитное заключение, расширенное обсуждение и аудит методики.</w:t>
            </w:r>
          </w:p>
        </w:tc>
      </w:tr>
      <w:tr>
        <w:trPr>
          <w:cantSplit/>
        </w:trPr>
        <w:tc>
          <w:tcPr>
            <w:tcW w:type="dxa" w:w="113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Высокий</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Значимые бюджетные, федеративные, инфраструктурные или цифровые риски.</w:t>
            </w:r>
          </w:p>
        </w:tc>
        <w:tc>
          <w:tcPr>
            <w:tcW w:type="dxa" w:w="430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Независимые конкурирующие модели, специальная гражданская панель, усиленный контроль данных и судебная готовность.</w:t>
            </w:r>
          </w:p>
        </w:tc>
      </w:tr>
      <w:tr>
        <w:trPr>
          <w:cantSplit/>
        </w:trPr>
        <w:tc>
          <w:tcPr>
            <w:tcW w:type="dxa" w:w="1134"/>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Критический</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Изменение конституционного устройства, основ прав, выборов, судебной независимости или чрезвычайных полномочий.</w:t>
            </w:r>
          </w:p>
        </w:tc>
        <w:tc>
          <w:tcPr>
            <w:tcW w:type="dxa" w:w="430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Не обрабатывается как упрощённый пункт Доктрины; возможен только переход в обычную квалифицированную конституционную или референдумную процедуру.</w:t>
            </w:r>
          </w:p>
        </w:tc>
      </w:tr>
    </w:tbl>
    <w:p>
      <w:pPr>
        <w:widowControl/>
      </w:pPr>
    </w:p>
    <w:p>
      <w:pPr>
        <w:widowControl/>
      </w:pPr>
      <w:r>
        <w:rPr>
          <w:i w:val="0"/>
        </w:rPr>
        <w:t>Увеличение глубины не создаёт у экспертов право заменить политический выбор. Оно увеличивает объём раскрываемой информации, число независимых проверок и качество процессуальных гарантий.</w:t>
      </w:r>
    </w:p>
    <w:p>
      <w:pPr>
        <w:pStyle w:val="Heading2"/>
        <w:keepNext/>
        <w:widowControl/>
      </w:pPr>
      <w:r>
        <w:t>9. Единое окно обжалования</w:t>
      </w:r>
    </w:p>
    <w:p>
      <w:pPr>
        <w:widowControl/>
      </w:pPr>
      <w:r>
        <w:rPr>
          <w:i w:val="0"/>
        </w:rPr>
        <w:t>Претензии к формулировке, компетенции, правовой допустимости, редакционному изменению, доступности, конфликту интересов и подготовке голосования по возможности консолидируются в одном ускоренном процессе до наступления необратимой стадии.</w:t>
      </w:r>
    </w:p>
    <w:p>
      <w:pPr>
        <w:widowControl/>
      </w:pPr>
      <w:r>
        <w:rPr>
          <w:i w:val="0"/>
        </w:rPr>
        <w:t>Правом обращения обладают инициатор, непосредственно затронутый участник, кандидат или партия, компетентный орган соответствующего уровня, омбудсмен, орган защиты данных и иное лицо с конкретным юридическим интересом. Публичная заинтересованность сама по себе не даёт каждому лицу права бесконечно останавливать цикл, но должна обеспечивать возможность обращения через омбудсмена или предусмотренный общественный иск.</w:t>
      </w:r>
    </w:p>
    <w:p>
      <w:pPr>
        <w:widowControl/>
      </w:pPr>
      <w:r>
        <w:rPr>
          <w:i w:val="0"/>
        </w:rPr>
        <w:t>Закон устанавливает короткие пресекательные сроки, объединение связанных требований, приоритет рассмотрения и запрет повторного спора по уже разрешённому основанию при отсутствии новых существенных фактов. Ускоренность не снижает права быть услышанным, знакомиться с материалами, заявлять отвод, получать мотивированное решение и обжаловать его в предусмотренной законом инстанции.</w:t>
      </w:r>
    </w:p>
    <w:p>
      <w:pPr>
        <w:widowControl/>
      </w:pPr>
      <w:r>
        <w:t>Ускоренное обжалование не может быть формальным: устанавливаются минимальные сроки для доступа к материалам и подготовки позиции, возможность выделить индивидуальное требование из консолидированного дела и приостанавливающая мера при доказанном риске необратимого вреда.</w:t>
      </w:r>
    </w:p>
    <w:p>
      <w:pPr>
        <w:widowControl/>
      </w:pPr>
      <w:r>
        <w:t>Если решение опирается на секретный материал, назначается независимый допущенный защитник или эксперт; публикуется минимальное существо довода, а решение не может основываться исключительно на материале, с которым сторона и её защитник не могли ознакомиться.</w:t>
      </w:r>
    </w:p>
    <w:p>
      <w:pPr>
        <w:pStyle w:val="Heading2"/>
        <w:keepNext/>
        <w:widowControl/>
      </w:pPr>
      <w:r>
        <w:t>10. Классификация нарушений и их последствия</w:t>
      </w:r>
    </w:p>
    <w:tbl>
      <w:tblPr>
        <w:tblW w:type="auto" w:w="0"/>
        <w:jc w:val="center"/>
        <w:tblLayout w:type="autofit"/>
        <w:tblLook w:firstColumn="1" w:firstRow="1" w:lastColumn="0" w:lastRow="0" w:noHBand="0" w:noVBand="1" w:val="04A0"/>
      </w:tblPr>
      <w:tblGrid>
        <w:gridCol w:w="3222"/>
        <w:gridCol w:w="3222"/>
        <w:gridCol w:w="3222"/>
      </w:tblGrid>
      <w:tr>
        <w:trPr>
          <w:tblHeader w:val="true"/>
          <w:cantSplit/>
          <w:tblHeader w:val="true"/>
        </w:trPr>
        <w:tc>
          <w:tcPr>
            <w:tcW w:type="dxa" w:w="170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Категория</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Пример</w:t>
            </w:r>
          </w:p>
        </w:tc>
        <w:tc>
          <w:tcPr>
            <w:tcW w:type="dxa" w:w="374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7"/>
              </w:rPr>
              <w:t>Последствие</w:t>
            </w:r>
          </w:p>
        </w:tc>
      </w:tr>
      <w:tr>
        <w:trPr>
          <w:cantSplit/>
        </w:trPr>
        <w:tc>
          <w:tcPr>
            <w:tcW w:type="dxa" w:w="170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Техническая ошибка</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Опечатка, сбой отображения без влияния на смысл и доступ.</w:t>
            </w:r>
          </w:p>
        </w:tc>
        <w:tc>
          <w:tcPr>
            <w:tcW w:type="dxa" w:w="374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Немедленное исправление, журнал изменений, уведомление затронутых лиц.</w:t>
            </w:r>
          </w:p>
        </w:tc>
      </w:tr>
      <w:tr>
        <w:trPr>
          <w:cantSplit/>
        </w:trPr>
        <w:tc>
          <w:tcPr>
            <w:tcW w:type="dxa" w:w="170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Существенная процедурная ошибка</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Немотивированный отсев, пропуск обязательного уведомления, нераскрытый конфликт.</w:t>
            </w:r>
          </w:p>
        </w:tc>
        <w:tc>
          <w:tcPr>
            <w:tcW w:type="dxa" w:w="374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Отмена решения или повтор стадии в необходимом объёме.</w:t>
            </w:r>
          </w:p>
        </w:tc>
      </w:tr>
      <w:tr>
        <w:trPr>
          <w:cantSplit/>
        </w:trPr>
        <w:tc>
          <w:tcPr>
            <w:tcW w:type="dxa" w:w="170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Ошибка, способная повлиять на результат</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Искажение формулировки, неравный доступ, нарушение подсчёта.</w:t>
            </w:r>
          </w:p>
        </w:tc>
        <w:tc>
          <w:tcPr>
            <w:tcW w:type="dxa" w:w="374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Приостановление установления результата, независимая проверка, повтор операции или голосования.</w:t>
            </w:r>
          </w:p>
        </w:tc>
      </w:tr>
      <w:tr>
        <w:trPr>
          <w:cantSplit/>
        </w:trPr>
        <w:tc>
          <w:tcPr>
            <w:tcW w:type="dxa" w:w="170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Нарушение права</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Дискриминация, незаконное раскрытие, отсутствие эффективной защиты.</w:t>
            </w:r>
          </w:p>
        </w:tc>
        <w:tc>
          <w:tcPr>
            <w:tcW w:type="dxa" w:w="374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Немедленное прекращение, восстановление права, компенсационные и иные обычные правовые средства.</w:t>
            </w:r>
          </w:p>
        </w:tc>
      </w:tr>
      <w:tr>
        <w:trPr>
          <w:cantSplit/>
        </w:trPr>
        <w:tc>
          <w:tcPr>
            <w:tcW w:type="dxa" w:w="170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7"/>
              </w:rPr>
              <w:t>Умышленное злоупотребление</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Фальсификация, коррупция, незаконное связывание данных, сокрытие заказчика или конфликта.</w:t>
            </w:r>
          </w:p>
        </w:tc>
        <w:tc>
          <w:tcPr>
            <w:tcW w:type="dxa" w:w="374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7"/>
              </w:rPr>
              <w:t>Персональная юридическая ответственность, отстранение и устранение последствий.</w:t>
            </w:r>
          </w:p>
        </w:tc>
      </w:tr>
      <w:tr>
        <w:trPr>
          <w:cantSplit/>
        </w:trPr>
        <w:tc>
          <w:tcPr>
            <w:tcW w:type="dxa" w:w="170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7"/>
              </w:rPr>
              <w:t>Политическое неисполнение</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Недостижение результата или изменение курса при сохранении законной процедуры.</w:t>
            </w:r>
          </w:p>
        </w:tc>
        <w:tc>
          <w:tcPr>
            <w:tcW w:type="dxa" w:w="374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7"/>
              </w:rPr>
              <w:t>Публичная и политическая оценка; специальные юридические санкции не применяются.</w:t>
            </w:r>
          </w:p>
        </w:tc>
      </w:tr>
    </w:tbl>
    <w:p>
      <w:pPr>
        <w:widowControl/>
      </w:pPr>
    </w:p>
    <w:p>
      <w:pPr>
        <w:pStyle w:val="Heading2"/>
        <w:keepNext/>
        <w:widowControl/>
      </w:pPr>
      <w:r>
        <w:t>11. Аварийный режим и безопасный отказ</w:t>
      </w:r>
    </w:p>
    <w:p>
      <w:pPr>
        <w:widowControl/>
      </w:pPr>
      <w:r>
        <w:t>Аварийные меры применяются через единый чрезвычайный реестр Доктрины и общий кумулятивный срок для одного фактического события. Смена правовой квалификации или органа не обнуляет срок.</w:t>
      </w:r>
    </w:p>
    <w:p>
      <w:pPr>
        <w:widowControl/>
      </w:pPr>
      <w:r>
        <w:t>Ни оператор, ни правительство, ни координатор не вправе единолично аннулировать результат. Решение требует функционально независимого подтверждения, проверки эквивалентности оснований, минимальности меры и сохранения проверяемого недигитального пути.</w:t>
      </w:r>
    </w:p>
    <w:p>
      <w:pPr>
        <w:widowControl/>
      </w:pPr>
      <w:r>
        <w:t>При утрате кворума институциональной независимости официальный результат не сертифицируется; допускается публикация только оспариваемого неофициального массива данных с описанием дефекта.</w:t>
      </w:r>
    </w:p>
    <w:p>
      <w:pPr>
        <w:pStyle w:val="Heading2"/>
        <w:keepNext/>
        <w:widowControl/>
      </w:pPr>
      <w:r>
        <w:t>12. Наиболее сильные возражения и встроенные ответы</w:t>
      </w:r>
    </w:p>
    <w:p>
      <w:pPr>
        <w:pStyle w:val="Heading3"/>
        <w:keepNext/>
        <w:widowControl/>
      </w:pPr>
      <w:r>
        <w:t>12.1. «Даже девять стадий — слишком сложная система»</w:t>
      </w:r>
    </w:p>
    <w:p>
      <w:pPr>
        <w:widowControl/>
      </w:pPr>
      <w:r>
        <w:rPr>
          <w:i w:val="0"/>
        </w:rPr>
        <w:t>Встроенный ответ. Девять стадий описывают полную национальную модель и заменяют более длинную цепочку специализированных шлюзов. Пилоты используют сокращённый маршрут. Удалять можно внутренние операции, но не функциональные результаты, без которых исчезают право инициативы, правовая защита, информированность, голосование, сопоставимость кандидатов или контроль исполнения.</w:t>
      </w:r>
    </w:p>
    <w:p>
      <w:pPr>
        <w:pStyle w:val="Heading3"/>
        <w:keepNext/>
        <w:widowControl/>
      </w:pPr>
      <w:r>
        <w:t>12.2. «Процессный координатор станет скрытым собственником повестки»</w:t>
      </w:r>
    </w:p>
    <w:p>
      <w:pPr>
        <w:widowControl/>
      </w:pPr>
      <w:r>
        <w:rPr>
          <w:i w:val="0"/>
        </w:rPr>
        <w:t>Встроенный ответ. Координатор не принимает содержательных решений, не имеет резервного политического голоса, не владеет единой базой политических действий и не толкует позиции. Все его действия технически формализованы, журналируются и могут быть обжалованы.</w:t>
      </w:r>
    </w:p>
    <w:p>
      <w:pPr>
        <w:pStyle w:val="Heading3"/>
        <w:keepNext/>
        <w:widowControl/>
      </w:pPr>
      <w:r>
        <w:t>12.3. «Инициаторы будут обжаловать каждый шаг и разрушат календарь»</w:t>
      </w:r>
    </w:p>
    <w:p>
      <w:pPr>
        <w:widowControl/>
      </w:pPr>
      <w:r>
        <w:rPr>
          <w:i w:val="0"/>
        </w:rPr>
        <w:t>Встроенный ответ. Право на защиту сохраняется, но действует единое окно, конкретный юридический интерес, короткие сроки, консолидация требований и запрет повторного рассмотрения одного основания без новых фактов.</w:t>
      </w:r>
    </w:p>
    <w:p>
      <w:pPr>
        <w:pStyle w:val="Heading3"/>
        <w:keepNext/>
        <w:widowControl/>
      </w:pPr>
      <w:r>
        <w:t>12.4. «Названный автор решения всё равно сможет спрятаться за коллегиальностью»</w:t>
      </w:r>
    </w:p>
    <w:p>
      <w:pPr>
        <w:widowControl/>
      </w:pPr>
      <w:r>
        <w:rPr>
          <w:i w:val="0"/>
        </w:rPr>
        <w:t>Встроенный ответ. Для коллегиального решения публикуются состав, голоса либо предусмотренные законом позиции, отводы, использованные данные и особые мнения. Ответственность наступает не за политический выбор как таковой, а за конкретное нарушение обязанности, конфликт, фальсификацию, дискриминацию или незаконное действие.</w:t>
      </w:r>
    </w:p>
    <w:p>
      <w:pPr>
        <w:pStyle w:val="Heading2"/>
        <w:keepNext/>
        <w:widowControl/>
      </w:pPr>
      <w:r>
        <w:t>13. Связь с другими главами и вывод</w:t>
      </w:r>
    </w:p>
    <w:p>
      <w:pPr>
        <w:widowControl/>
      </w:pPr>
      <w:r>
        <w:rPr>
          <w:i w:val="0"/>
        </w:rPr>
        <w:t>Глава VIII определяет, какие существующие и временные институты выполняют названные функции. Глава IX устанавливает защиту от кадрового, финансового, методологического, цифрового и одновременного захвата. Последующие главы конкретизируют каждую стадию без права расширять полномочия за пределы настоящей главы.</w:t>
      </w:r>
    </w:p>
    <w:p>
      <w:pPr>
        <w:pStyle w:val="DoctrineQuote"/>
        <w:widowControl/>
      </w:pPr>
      <w:r>
        <w:rPr>
          <w:i w:val="0"/>
        </w:rPr>
        <w:t>Процедура считается подотчётной не тогда, когда в ней много контролёров, а тогда, когда каждый значимый выбор имеет автора, предел, доказательство, срок и реальный путь исправления.</w:t>
      </w:r>
    </w:p>
    <w:p>
      <w:pPr>
        <w:widowControl/>
      </w:pPr>
      <w:r>
        <w:br w:type="page"/>
      </w:r>
    </w:p>
    <w:p>
      <w:pPr>
        <w:pStyle w:val="Heading1"/>
        <w:keepNext/>
        <w:pageBreakBefore/>
        <w:spacing w:before="0" w:after="160"/>
        <w:widowControl/>
        <w:pBdr>
          <w:bottom w:val="single" w:sz="5" w:space="4" w:color="B4C6E7"/>
        </w:pBdr>
      </w:pPr>
      <w:r>
        <w:t>Глава VIII. Институциональная система Доктрины</w:t>
      </w:r>
    </w:p>
    <w:p>
      <w:pPr>
        <w:pStyle w:val="Heading2"/>
        <w:keepNext/>
        <w:widowControl/>
      </w:pPr>
      <w:r>
        <w:t>1. Предмет и цель</w:t>
      </w:r>
    </w:p>
    <w:p>
      <w:pPr>
        <w:widowControl/>
      </w:pPr>
      <w:r>
        <w:rPr>
          <w:i w:val="0"/>
        </w:rPr>
        <w:t>Настоящая глава определяет институциональную систему Доктрины, пределы создания новых субъектов, распределение функций между существующими органами и временными структурами, а также требования к пилотной и полной модели.</w:t>
      </w:r>
    </w:p>
    <w:p>
      <w:pPr>
        <w:pStyle w:val="DoctrineQuote"/>
        <w:widowControl/>
      </w:pPr>
      <w:r>
        <w:rPr>
          <w:i w:val="0"/>
        </w:rPr>
        <w:t>Система должна содержать полный набор необходимых функций, но не обязана создавать отдельный постоянный орган для каждой функции и не вправе передавать все функции одному постоянному органу.</w:t>
      </w:r>
    </w:p>
    <w:p>
      <w:pPr>
        <w:pStyle w:val="Heading2"/>
        <w:keepNext/>
        <w:widowControl/>
      </w:pPr>
      <w:r>
        <w:t>2. Трёхслойная институциональная модель</w:t>
      </w:r>
    </w:p>
    <w:p>
      <w:pPr>
        <w:widowControl/>
      </w:pPr>
      <w:r>
        <w:rPr>
          <w:i w:val="0"/>
        </w:rPr>
        <w:t>Институциональная архитектура строится из трёх взаимодополняющих слоёв:</w:t>
      </w:r>
    </w:p>
    <w:p>
      <w:pPr>
        <w:widowControl/>
        <w:ind w:left="312" w:hanging="227"/>
      </w:pPr>
      <w:r>
        <w:t>1. Существующие конституционные и законные институты. Избирательные органы, парламент, суды, высший орган аудита, омбудсмен, орган защиты данных, архивные и иные публичные службы выполняют совместимые функции в пределах своей обычной компетенции.</w:t>
      </w:r>
    </w:p>
    <w:p>
      <w:pPr>
        <w:widowControl/>
        <w:ind w:left="312" w:hanging="227"/>
      </w:pPr>
      <w:r>
        <w:t>2. Временные субъекты конкретного цикла. Процессный секретариат, редакционные и экспертные панели, гражданские мини-публики и оценочные консорциумы создаются только на установленный срок и прекращаются автоматически.</w:t>
      </w:r>
    </w:p>
    <w:p>
      <w:pPr>
        <w:widowControl/>
        <w:ind w:left="312" w:hanging="227"/>
      </w:pPr>
      <w:r>
        <w:t>3. Распределённая доказательственная инфраструктура. Версии текстов, данные, журналы, криптографические доказательства и публичные реестры хранятся раздельно у нескольких совместимых держателей, чтобы ни один субъект не мог незаметно изменить всю историю процесса.</w:t>
      </w:r>
    </w:p>
    <w:p>
      <w:pPr>
        <w:widowControl/>
      </w:pPr>
      <w:r>
        <w:rPr>
          <w:i w:val="0"/>
        </w:rPr>
        <w:t>Эта модель не создаёт параллельной ветви государственной власти. Она распределяет новые процедурные обязанности между институтами, которые уже обладают конституционной легитимностью, а недостающие вспомогательные функции поручает временным и узко ограниченным субъектам.</w:t>
      </w:r>
    </w:p>
    <w:p>
      <w:pPr>
        <w:pStyle w:val="Heading2"/>
        <w:keepNext/>
        <w:widowControl/>
      </w:pPr>
      <w:r>
        <w:t>3. Презумпция использования существующего института</w:t>
      </w:r>
    </w:p>
    <w:p>
      <w:pPr>
        <w:widowControl/>
      </w:pPr>
      <w:r>
        <w:rPr>
          <w:i w:val="0"/>
        </w:rPr>
        <w:t>Новый орган, реестр, комиссия или цифровая система не создаются, пока не доказано, что функция не может быть выполнена существующими средствами без недопустимого конфликта интересов, чрезмерной нагрузки или нарушения прав.</w:t>
      </w:r>
    </w:p>
    <w:p>
      <w:pPr>
        <w:widowControl/>
      </w:pPr>
      <w:r>
        <w:rPr>
          <w:i w:val="0"/>
        </w:rPr>
        <w:t>Проект создания нового субъекта обязан до принятия решения раскрыть:</w:t>
      </w:r>
    </w:p>
    <w:p>
      <w:pPr>
        <w:pStyle w:val="ListBullet"/>
        <w:widowControl/>
      </w:pPr>
      <w:r>
        <w:rPr>
          <w:i w:val="0"/>
        </w:rPr>
        <w:t>точную функцию и измеримый общественный результат, ради которого он необходим;</w:t>
      </w:r>
    </w:p>
    <w:p>
      <w:pPr>
        <w:pStyle w:val="ListBullet"/>
        <w:widowControl/>
      </w:pPr>
      <w:r>
        <w:rPr>
          <w:i w:val="0"/>
        </w:rPr>
        <w:t>причины, по которым существующие институты не могут выполнить функцию после ограниченной модернизации;</w:t>
      </w:r>
    </w:p>
    <w:p>
      <w:pPr>
        <w:pStyle w:val="ListBullet"/>
        <w:widowControl/>
      </w:pPr>
      <w:r>
        <w:rPr>
          <w:i w:val="0"/>
        </w:rPr>
        <w:t>возможные конфликты интересов и способы их устранения;</w:t>
      </w:r>
    </w:p>
    <w:p>
      <w:pPr>
        <w:pStyle w:val="ListBullet"/>
        <w:widowControl/>
      </w:pPr>
      <w:r>
        <w:rPr>
          <w:i w:val="0"/>
        </w:rPr>
        <w:t>исчерпывающий перечень полномочий, прямые запреты и отсутствие подразумеваемой компетенции;</w:t>
      </w:r>
    </w:p>
    <w:p>
      <w:pPr>
        <w:pStyle w:val="ListBullet"/>
        <w:widowControl/>
      </w:pPr>
      <w:r>
        <w:rPr>
          <w:i w:val="0"/>
        </w:rPr>
        <w:t>порядок формирования, контроля, отвода, прекращения полномочий и обжалования решений;</w:t>
      </w:r>
    </w:p>
    <w:p>
      <w:pPr>
        <w:pStyle w:val="ListBullet"/>
        <w:widowControl/>
      </w:pPr>
      <w:r>
        <w:rPr>
          <w:i w:val="0"/>
        </w:rPr>
        <w:t>категории получаемых данных, цели, сроки хранения и доказуемое уничтожение;</w:t>
      </w:r>
    </w:p>
    <w:p>
      <w:pPr>
        <w:pStyle w:val="ListBullet"/>
        <w:widowControl/>
      </w:pPr>
      <w:r>
        <w:rPr>
          <w:i w:val="0"/>
        </w:rPr>
        <w:t>полную стоимость жизненного цикла и более простые альтернативы;</w:t>
      </w:r>
    </w:p>
    <w:p>
      <w:pPr>
        <w:pStyle w:val="ListBullet"/>
        <w:widowControl/>
      </w:pPr>
      <w:r>
        <w:rPr>
          <w:i w:val="0"/>
        </w:rPr>
        <w:t>срок существования, критерии успеха, автоматическое прекращение и порядок ликвидации данных и контрактов;</w:t>
      </w:r>
    </w:p>
    <w:p>
      <w:pPr>
        <w:pStyle w:val="ListBullet"/>
        <w:widowControl/>
      </w:pPr>
      <w:r>
        <w:rPr>
          <w:i w:val="0"/>
        </w:rPr>
        <w:t>сценарий политического захвата и доказательство того, что субъект не получает контроль над несколькими несовместимыми контурами.</w:t>
      </w:r>
    </w:p>
    <w:p>
      <w:pPr>
        <w:widowControl/>
      </w:pPr>
      <w:r>
        <w:rPr>
          <w:i w:val="0"/>
        </w:rPr>
        <w:t>Отсутствие доказательства необходимости означает отказ от создания нового субъекта, а не перенос решения в подзаконный акт.</w:t>
      </w:r>
    </w:p>
    <w:p>
      <w:pPr>
        <w:pStyle w:val="Heading2"/>
        <w:keepNext/>
        <w:widowControl/>
      </w:pPr>
      <w:r>
        <w:t>4. Распределение базовых функций между существующими институтами</w:t>
      </w:r>
    </w:p>
    <w:tbl>
      <w:tblPr>
        <w:tblW w:type="auto" w:w="0"/>
        <w:jc w:val="center"/>
        <w:tblLayout w:type="autofit"/>
        <w:tblLook w:firstColumn="1" w:firstRow="1" w:lastColumn="0" w:lastRow="0" w:noHBand="0" w:noVBand="1" w:val="04A0"/>
      </w:tblPr>
      <w:tblGrid>
        <w:gridCol w:w="3222"/>
        <w:gridCol w:w="3222"/>
        <w:gridCol w:w="3222"/>
      </w:tblGrid>
      <w:tr>
        <w:trPr>
          <w:tblHeader w:val="true"/>
          <w:cantSplit/>
          <w:tblHeader w:val="true"/>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6"/>
              </w:rPr>
              <w:t>Институт</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6"/>
              </w:rPr>
              <w:t>Функция в системе</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6"/>
              </w:rPr>
              <w:t>Прямой предел</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Избирательный орган</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Организация финального голосования, установление результата, равное официальное информирование.</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Не редактирует инициативы, не выбирает темы и не оценивает политическое исполнение.</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Суд</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Ускоренный контроль компетенции, узкой правовой допустимости, прав участников и точных процедурных обязанностей.</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Не выбирает политический курс, бюджет, показатель результата или степень общественной желательности.</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Парламент и его службы</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Слушания, бюджетные и законодательные решения, мотивированный ответ, контроль исполнительной власти.</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Не связан внешней инструкцией голосовать определённым образом; сохраняется свободный мандат.</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Высший или независимый аудитор</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Проверка данных, расходов, методик, полномочий, закупок и достоверности отчётности.</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Не формулирует общественную цель и не выносит официальный политический приговор.</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Омбудсмен или правозащитный орган</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Доступность, равенство, защита меньшинств, рассмотрение жалоб и системных барьеров.</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Не осуществляет содержательный политический фильтр и не представляет группу без её согласия.</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Орган защиты данных</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Минимизация, несвязываемость, сроки хранения, удаление, инциденты и права субъектов.</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Не получает историю политических действий и не создаёт исключения по исполнительному усмотрению.</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Архив и распределённые хранители</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Неизменяемость официальных текстов, версий, доказательств и публичной истории.</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Не объединяют архив с идентификационными реестрами и не строят профиль гражданина.</w:t>
            </w:r>
          </w:p>
        </w:tc>
      </w:tr>
      <w:tr>
        <w:trPr>
          <w:cantSplit/>
        </w:trPr>
        <w:tc>
          <w:tcPr>
            <w:tcW w:type="dxa" w:w="1928"/>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Независимое фискальное учреждение</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Диапазоны стоимости, сценарии, чувствительность, распределительные эффекты и источники.</w:t>
            </w:r>
          </w:p>
        </w:tc>
        <w:tc>
          <w:tcPr>
            <w:tcW w:type="dxa" w:w="3515"/>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Не решает, какая инициатива политически предпочтительна, и не обладает скрытым бюджетным вето.</w:t>
            </w:r>
          </w:p>
        </w:tc>
      </w:tr>
    </w:tbl>
    <w:p>
      <w:pPr>
        <w:widowControl/>
      </w:pPr>
    </w:p>
    <w:p>
      <w:pPr>
        <w:widowControl/>
      </w:pPr>
      <w:r>
        <w:t>Каждая временная панель и каждый новый процессный субъект проходят отдельный тест необходимости. Закон устанавливает общий предел числа одновременно действующих панелей, функций и штатной численности. Нельзя создавать новую панель лишь потому, что предшествующая не успевает выполнить чрезмерно широкий мандат.</w:t>
      </w:r>
    </w:p>
    <w:p>
      <w:pPr>
        <w:pStyle w:val="Heading2"/>
        <w:keepNext/>
        <w:widowControl/>
      </w:pPr>
      <w:r>
        <w:t>5. Временный процессный секретариат</w:t>
      </w:r>
    </w:p>
    <w:p>
      <w:pPr>
        <w:widowControl/>
      </w:pPr>
      <w:r>
        <w:rPr>
          <w:i w:val="0"/>
        </w:rPr>
        <w:t>На период цикла может создаваться один временный процессный секретариат. Он обеспечивает единое окно, календарь, технические стандарты, публикацию версий, уведомления и координацию между институтами.</w:t>
      </w:r>
    </w:p>
    <w:p>
      <w:pPr>
        <w:widowControl/>
      </w:pPr>
      <w:r>
        <w:rPr>
          <w:i w:val="0"/>
        </w:rPr>
        <w:t>Секретариат не формирует содержательный предварительный список, не определяет правовую допустимость, не устанавливает результат голосования, не толкует ответы кандидатов и не оценивает исполнение. Его штат, срок, фонд оплаты и закупки ограничиваются законом и бюджетом конкретного цикла.</w:t>
      </w:r>
    </w:p>
    <w:p>
      <w:pPr>
        <w:widowControl/>
      </w:pPr>
      <w:r>
        <w:t>Полномочия секретариата прекращаются автоматически после передачи архива и завершения установленных расчётов. Функционально эквивалентный субъект с иным названием считается продолжением того же органа; его срок учитывается кумулятивно. Продление допускается только для точно определённых ликвидационных операций и не возобновляет политико-процессные функции.</w:t>
      </w:r>
    </w:p>
    <w:p>
      <w:pPr>
        <w:pStyle w:val="Heading2"/>
        <w:keepNext/>
        <w:widowControl/>
      </w:pPr>
      <w:r>
        <w:t>6. Временные редакционные панели</w:t>
      </w:r>
    </w:p>
    <w:p>
      <w:pPr>
        <w:widowControl/>
      </w:pPr>
      <w:r>
        <w:rPr>
          <w:i w:val="0"/>
        </w:rPr>
        <w:t>Редакционная панель создаётся для обеспечения понятности, единства предмета, перевода, доступности и прозрачной кластеризации близких инициатив. В её состав включаются представители исходных инициатив, специалисты по ясному языку, доступности, переводу и предметной терминологии.</w:t>
      </w:r>
    </w:p>
    <w:p>
      <w:pPr>
        <w:widowControl/>
      </w:pPr>
      <w:r>
        <w:rPr>
          <w:i w:val="0"/>
        </w:rPr>
        <w:t>Исходный текст сохраняется как неизменяемый архивный объект. Любая рабочая редакция сопровождается построчным или функционально эквивалентным сравнением, объяснением каждого содержательного изменения, возражениями авторов и, когда изменение существенно, повторным подтверждением поддержки.</w:t>
      </w:r>
    </w:p>
    <w:p>
      <w:pPr>
        <w:widowControl/>
      </w:pPr>
      <w:r>
        <w:rPr>
          <w:i w:val="0"/>
        </w:rPr>
        <w:t>Панель прекращает работу после утверждения формулировок и разрешения связанных жалоб. Её участники не могут в том же цикле принимать решение о правовой допустимости, организовывать голосование либо входить в орган итоговой оценки по отредактированной теме.</w:t>
      </w:r>
    </w:p>
    <w:p>
      <w:pPr>
        <w:pStyle w:val="Heading2"/>
        <w:keepNext/>
        <w:widowControl/>
      </w:pPr>
      <w:r>
        <w:t>7. Временные экспертные и гражданские панели</w:t>
      </w:r>
    </w:p>
    <w:p>
      <w:pPr>
        <w:widowControl/>
      </w:pPr>
      <w:r>
        <w:rPr>
          <w:i w:val="0"/>
        </w:rPr>
        <w:t>Экспертные панели создаются для конкретной темы или группы взаимосвязанных тем. Не допускается единый закрытый корпус аккредитованных экспертов, получающий устойчивую монополию на допустимую методологию.</w:t>
      </w:r>
    </w:p>
    <w:p>
      <w:pPr>
        <w:widowControl/>
      </w:pPr>
      <w:r>
        <w:rPr>
          <w:i w:val="0"/>
        </w:rPr>
        <w:t>Отбор учитывает профессиональную квалификацию, конфликт интересов, разнообразие школ, наличие альтернативных моделей и возможность независимой репликации. Добросовестное профессиональное несогласие не является основанием исключения.</w:t>
      </w:r>
    </w:p>
    <w:p>
      <w:pPr>
        <w:widowControl/>
      </w:pPr>
      <w:r>
        <w:rPr>
          <w:i w:val="0"/>
        </w:rPr>
        <w:t>Временная гражданская панель формируется стратифицированным случайным отбором из широкого пула без предварительного отбора по политической лояльности. Отказ от участия доброволен. Компенсация времени, проезда, ухода и доступности устанавливается нейтрально и не зависит от высказанной позиции.</w:t>
      </w:r>
    </w:p>
    <w:p>
      <w:pPr>
        <w:widowControl/>
      </w:pPr>
      <w:r>
        <w:rPr>
          <w:i w:val="0"/>
        </w:rPr>
        <w:t>Панели раскрывают структуру разногласий, вопросы и последствия, но не заменяют финальное волеизъявление граждан и не получают право окончательного политического отбора.</w:t>
      </w:r>
    </w:p>
    <w:p>
      <w:pPr>
        <w:pStyle w:val="Heading2"/>
        <w:keepNext/>
        <w:widowControl/>
      </w:pPr>
      <w:r>
        <w:t>8. Правовой контур</w:t>
      </w:r>
    </w:p>
    <w:p>
      <w:pPr>
        <w:widowControl/>
      </w:pPr>
      <w:r>
        <w:rPr>
          <w:i w:val="0"/>
        </w:rPr>
        <w:t>Правовая проверка ограничивается закрытыми основаниями: отсутствие компетенции соответствующего уровня; явное противоречие неотчуждаемому ядру прав; нарушение императивной нормы; несоблюдение обязательной конституционной процедуры; вопрос об индивидуальной виновности или иной предмет, который по природе не может решаться массовым политическим голосованием.</w:t>
      </w:r>
    </w:p>
    <w:p>
      <w:pPr>
        <w:widowControl/>
      </w:pPr>
      <w:r>
        <w:rPr>
          <w:i w:val="0"/>
        </w:rPr>
        <w:t>Спорная, но не очевидная правовая проблема ведёт к маркировке, возможной минимально изменённой допустимой редакции и ускоренному судебному рассмотрению, а не к окончательному административному запрету. Последнее слово по существенному исключению принадлежит суду в пределах права, но суд не оценивает разумность или популярность политической цели.</w:t>
      </w:r>
    </w:p>
    <w:p>
      <w:pPr>
        <w:pStyle w:val="Heading2"/>
        <w:keepNext/>
        <w:widowControl/>
      </w:pPr>
      <w:r>
        <w:t>9. Технический и информационный контур</w:t>
      </w:r>
    </w:p>
    <w:p>
      <w:pPr>
        <w:widowControl/>
      </w:pPr>
      <w:r>
        <w:rPr>
          <w:i w:val="0"/>
        </w:rPr>
        <w:t>Идентификация права участия, публикация материалов, регистрация политического действия, подсчёт и независимый аудит разделяются организационно, технически и по ключам доступа. Один поставщик или один орган не должен обладать всеми компонентами, журналами и возможностью восстановить связь личности с действием.</w:t>
      </w:r>
    </w:p>
    <w:p>
      <w:pPr>
        <w:widowControl/>
      </w:pPr>
      <w:r>
        <w:rPr>
          <w:i w:val="0"/>
        </w:rPr>
        <w:t>Обязательны открытые спецификации, воспроизводимые сборки для критических компонентов, документированная цепочка поставок, независимые испытания, резервный недигитальный канал и возможность безопасного отказа. Публичный реестр версий ведётся отдельно от закрытых идентификационных данных.</w:t>
      </w:r>
    </w:p>
    <w:p>
      <w:pPr>
        <w:widowControl/>
      </w:pPr>
      <w:r>
        <w:rPr>
          <w:i w:val="0"/>
        </w:rPr>
        <w:t>Техническая сертификация подтверждает соответствие конкретной реализации установленным требованиям на определённую дату. Она не является бессрочным разрешением и не переносит политическую ответственность на технического эксперта.</w:t>
      </w:r>
    </w:p>
    <w:p>
      <w:pPr>
        <w:widowControl/>
      </w:pPr>
      <w:r>
        <w:t>Для всех критических контуров составляется карта инфраструктурной независимости. Общий облачный поставщик, интегратор, администратор или идентификационный сервис не вправе одновременно видеть идентификационный, политический и аудиторский контуры. Контракты предусматривают воспроизводимую сборку, переносимость данных и выход без потери доказательств.</w:t>
      </w:r>
    </w:p>
    <w:p>
      <w:pPr>
        <w:pStyle w:val="Heading2"/>
        <w:keepNext/>
        <w:widowControl/>
      </w:pPr>
      <w:r>
        <w:t>10. Независимый мониторинг и оценка</w:t>
      </w:r>
    </w:p>
    <w:p>
      <w:pPr>
        <w:widowControl/>
      </w:pPr>
      <w:r>
        <w:rPr>
          <w:i w:val="0"/>
        </w:rPr>
        <w:t>Текущий мониторинг фиксирует проверяемые факты: действия, сроки, расходы, показатели, версии методик и официальные причины изменений. Он не присваивает единую политическую оценку.</w:t>
      </w:r>
    </w:p>
    <w:p>
      <w:pPr>
        <w:widowControl/>
      </w:pPr>
      <w:r>
        <w:rPr>
          <w:i w:val="0"/>
        </w:rPr>
        <w:t>Промежуточная и итоговая оценка поручается нескольким временным исследовательским или аудиторским консорциумам с раскрытием методик, данных, неопределённости и особых мнений. Орган власти получает право на мотивированный ответ, который публикуется рядом, но не удаляет независимый вывод.</w:t>
      </w:r>
    </w:p>
    <w:p>
      <w:pPr>
        <w:widowControl/>
      </w:pPr>
      <w:r>
        <w:rPr>
          <w:i w:val="0"/>
        </w:rPr>
        <w:t>Ни один оценщик не получает монополию на итоговую истину, право ограничивать избирательные права или автоматически изменять полномочия. Исходные линии и старые методики сохраняются, даже если вводится новая методика.</w:t>
      </w:r>
    </w:p>
    <w:p>
      <w:pPr>
        <w:pStyle w:val="Heading2"/>
        <w:keepNext/>
        <w:widowControl/>
      </w:pPr>
      <w:r>
        <w:t>11. Паспорт института или временного субъекта</w:t>
      </w:r>
    </w:p>
    <w:p>
      <w:pPr>
        <w:widowControl/>
      </w:pPr>
      <w:r>
        <w:rPr>
          <w:i w:val="0"/>
        </w:rPr>
        <w:t>Для каждого института, выполняющего функцию Доктрины, публикуется паспорт, содержащий:</w:t>
      </w:r>
    </w:p>
    <w:p>
      <w:pPr>
        <w:pStyle w:val="ListBullet"/>
        <w:widowControl/>
      </w:pPr>
      <w:r>
        <w:rPr>
          <w:i w:val="0"/>
        </w:rPr>
        <w:t>правовое основание и точный перечень функций;</w:t>
      </w:r>
    </w:p>
    <w:p>
      <w:pPr>
        <w:pStyle w:val="ListBullet"/>
        <w:widowControl/>
      </w:pPr>
      <w:r>
        <w:rPr>
          <w:i w:val="0"/>
        </w:rPr>
        <w:t>прямые запреты и перечень несовместимых функций;</w:t>
      </w:r>
    </w:p>
    <w:p>
      <w:pPr>
        <w:pStyle w:val="ListBullet"/>
        <w:widowControl/>
      </w:pPr>
      <w:r>
        <w:rPr>
          <w:i w:val="0"/>
        </w:rPr>
        <w:t>порядок формирования, срок, возможность продления или возобновления;</w:t>
      </w:r>
    </w:p>
    <w:p>
      <w:pPr>
        <w:pStyle w:val="ListBullet"/>
        <w:widowControl/>
      </w:pPr>
      <w:r>
        <w:rPr>
          <w:i w:val="0"/>
        </w:rPr>
        <w:t>бюджет, предельную численность и стоимость на участника или обрабатываемый пункт;</w:t>
      </w:r>
    </w:p>
    <w:p>
      <w:pPr>
        <w:pStyle w:val="ListBullet"/>
        <w:widowControl/>
      </w:pPr>
      <w:r>
        <w:rPr>
          <w:i w:val="0"/>
        </w:rPr>
        <w:t>категории данных, основания доступа и сроки удаления;</w:t>
      </w:r>
    </w:p>
    <w:p>
      <w:pPr>
        <w:pStyle w:val="ListBullet"/>
        <w:widowControl/>
      </w:pPr>
      <w:r>
        <w:rPr>
          <w:i w:val="0"/>
        </w:rPr>
        <w:t>ответственных лиц и публичные каналы связи;</w:t>
      </w:r>
    </w:p>
    <w:p>
      <w:pPr>
        <w:pStyle w:val="ListBullet"/>
        <w:widowControl/>
      </w:pPr>
      <w:r>
        <w:rPr>
          <w:i w:val="0"/>
        </w:rPr>
        <w:t>внешний аудит и периодичность его проведения;</w:t>
      </w:r>
    </w:p>
    <w:p>
      <w:pPr>
        <w:pStyle w:val="ListBullet"/>
        <w:widowControl/>
      </w:pPr>
      <w:r>
        <w:rPr>
          <w:i w:val="0"/>
        </w:rPr>
        <w:t>порядок отвода, жалобы и исполнения решения по жалобе;</w:t>
      </w:r>
    </w:p>
    <w:p>
      <w:pPr>
        <w:pStyle w:val="ListBullet"/>
        <w:widowControl/>
      </w:pPr>
      <w:r>
        <w:rPr>
          <w:i w:val="0"/>
        </w:rPr>
        <w:t>показатели административной нагрузки и качества;</w:t>
      </w:r>
    </w:p>
    <w:p>
      <w:pPr>
        <w:pStyle w:val="ListBullet"/>
        <w:widowControl/>
      </w:pPr>
      <w:r>
        <w:rPr>
          <w:i w:val="0"/>
        </w:rPr>
        <w:t>автоматическое прекращение, пересмотр или возвращение функции существующему институту.</w:t>
      </w:r>
    </w:p>
    <w:p>
      <w:pPr>
        <w:pStyle w:val="Heading2"/>
        <w:keepNext/>
        <w:widowControl/>
      </w:pPr>
      <w:r>
        <w:t>12. Формирование, ротация и отвод временных панелей</w:t>
      </w:r>
    </w:p>
    <w:p>
      <w:pPr>
        <w:widowControl/>
      </w:pPr>
      <w:r>
        <w:rPr>
          <w:i w:val="0"/>
        </w:rPr>
        <w:t>Кандидатуры формируются из открытого пула по объективным квалификационным и конфликтным критериям. Конкретное назначение проводится случайным или иным заранее проверяемым способом, исключающим контроль одного политического источника.</w:t>
      </w:r>
    </w:p>
    <w:p>
      <w:pPr>
        <w:widowControl/>
      </w:pPr>
      <w:r>
        <w:rPr>
          <w:i w:val="0"/>
        </w:rPr>
        <w:t>Срок является коротким и, как правило, невозобновляемым в рамках одного цикла. Последовательное участие в несовместимых ролях запрещается. Резервная процедура при кадровом тупике не может принадлежать одному назначающему субъекту; используется жеребьёвка из заранее проверенного пула либо смешанный механизм.</w:t>
      </w:r>
    </w:p>
    <w:p>
      <w:pPr>
        <w:widowControl/>
      </w:pPr>
      <w:r>
        <w:rPr>
          <w:i w:val="0"/>
        </w:rPr>
        <w:t>Отвод заявляется самим участником, стороной процесса, омбудсменом или контролёром. Решение об отводе мотивируется, публикуется в допустимом объёме и обжалуется без раскрытия защищённых данных сверх необходимого.</w:t>
      </w:r>
    </w:p>
    <w:p>
      <w:pPr>
        <w:pStyle w:val="Heading2"/>
        <w:keepNext/>
        <w:widowControl/>
      </w:pPr>
      <w:r>
        <w:t>13. Финансирование и закупки</w:t>
      </w:r>
    </w:p>
    <w:p>
      <w:pPr>
        <w:widowControl/>
      </w:pPr>
      <w:r>
        <w:rPr>
          <w:i w:val="0"/>
        </w:rPr>
        <w:t>Финансирование проходит через обычный парламентский бюджет и внешний аудит. Независимость не означает неограниченной расходной автономии или автоматического процента бюджета, неподконтрольного представительным органам.</w:t>
      </w:r>
    </w:p>
    <w:p>
      <w:pPr>
        <w:widowControl/>
      </w:pPr>
      <w:r>
        <w:rPr>
          <w:i w:val="0"/>
        </w:rPr>
        <w:t>Для каждого цикла устанавливаются предельная стоимость, стоимость одного уникального участника и одного дошедшего до решения пункта, поэтапное финансирование и автоматический пересмотр после независимой оценки. Закупки проводятся на открытых стандартах, с переносимостью данных, разделением критических компонентов и запретом необоснованного зависимость от одного поставщика.</w:t>
      </w:r>
    </w:p>
    <w:p>
      <w:pPr>
        <w:widowControl/>
      </w:pPr>
      <w:r>
        <w:rPr>
          <w:i w:val="0"/>
        </w:rPr>
        <w:t>Частное финансирование официальных функций, скрытая оплата экспертов или предоставление критической инфраструктуры в обмен на влияние запрещаются. Допустимая безвозмездная помощь раскрывается, не создаёт исключительных прав и может быть отклонена при риске зависимости.</w:t>
      </w:r>
    </w:p>
    <w:p>
      <w:pPr>
        <w:pStyle w:val="Heading2"/>
        <w:keepNext/>
        <w:widowControl/>
      </w:pPr>
      <w:r>
        <w:t>14. Минимальная институциональная модель пилота</w:t>
      </w:r>
    </w:p>
    <w:p>
      <w:pPr>
        <w:widowControl/>
      </w:pPr>
      <w:r>
        <w:rPr>
          <w:i w:val="0"/>
        </w:rPr>
        <w:t>Первый пилот не воспроизводит всю национальную инфраструктуру. Минимальная модель включает:</w:t>
      </w:r>
    </w:p>
    <w:p>
      <w:pPr>
        <w:pStyle w:val="ListBullet"/>
        <w:widowControl/>
      </w:pPr>
      <w:r>
        <w:rPr>
          <w:i w:val="0"/>
        </w:rPr>
        <w:t>один добровольно участвующий муниципальный или сопоставимый локальный уровень;</w:t>
      </w:r>
    </w:p>
    <w:p>
      <w:pPr>
        <w:pStyle w:val="ListBullet"/>
        <w:widowControl/>
      </w:pPr>
      <w:r>
        <w:rPr>
          <w:i w:val="0"/>
        </w:rPr>
        <w:t>не более трёх–пяти независимых тем;</w:t>
      </w:r>
    </w:p>
    <w:p>
      <w:pPr>
        <w:pStyle w:val="ListBullet"/>
        <w:widowControl/>
      </w:pPr>
      <w:r>
        <w:rPr>
          <w:i w:val="0"/>
        </w:rPr>
        <w:t>существующий избирательный или административный орган для совместимой технической функции;</w:t>
      </w:r>
    </w:p>
    <w:p>
      <w:pPr>
        <w:pStyle w:val="ListBullet"/>
        <w:widowControl/>
      </w:pPr>
      <w:r>
        <w:rPr>
          <w:i w:val="0"/>
        </w:rPr>
        <w:t>один временный процессный секретариат;</w:t>
      </w:r>
    </w:p>
    <w:p>
      <w:pPr>
        <w:pStyle w:val="ListBullet"/>
        <w:widowControl/>
      </w:pPr>
      <w:r>
        <w:rPr>
          <w:i w:val="0"/>
        </w:rPr>
        <w:t>временную редакционную панель и тематических экспертов;</w:t>
      </w:r>
    </w:p>
    <w:p>
      <w:pPr>
        <w:pStyle w:val="ListBullet"/>
        <w:widowControl/>
      </w:pPr>
      <w:r>
        <w:rPr>
          <w:i w:val="0"/>
        </w:rPr>
        <w:t>узкий правовой фильтр с ускоренным доступом к обычному суду;</w:t>
      </w:r>
    </w:p>
    <w:p>
      <w:pPr>
        <w:pStyle w:val="ListBullet"/>
        <w:widowControl/>
      </w:pPr>
      <w:r>
        <w:rPr>
          <w:i w:val="0"/>
        </w:rPr>
        <w:t>полноценный офлайн-канал и отсутствие обязательного удалённого голосования;</w:t>
      </w:r>
    </w:p>
    <w:p>
      <w:pPr>
        <w:pStyle w:val="ListBullet"/>
        <w:widowControl/>
      </w:pPr>
      <w:r>
        <w:rPr>
          <w:i w:val="0"/>
        </w:rPr>
        <w:t>предварительно зарегистрированную независимую оценку с контрольной альтернативой;</w:t>
      </w:r>
    </w:p>
    <w:p>
      <w:pPr>
        <w:pStyle w:val="ListBullet"/>
        <w:widowControl/>
      </w:pPr>
      <w:r>
        <w:rPr>
          <w:i w:val="0"/>
        </w:rPr>
        <w:t>автоматический прекращение полномочий всех временных субъектов по истечении срока и данных, не подлежащих архивному хранению;</w:t>
      </w:r>
    </w:p>
    <w:p>
      <w:pPr>
        <w:pStyle w:val="ListBullet"/>
        <w:widowControl/>
      </w:pPr>
      <w:r>
        <w:rPr>
          <w:i w:val="0"/>
        </w:rPr>
        <w:t>запрет национального масштабирования без как минимум двух воспроизводимых независимых циклов.</w:t>
      </w:r>
    </w:p>
    <w:p>
      <w:pPr>
        <w:pStyle w:val="Heading2"/>
        <w:keepNext/>
        <w:widowControl/>
      </w:pPr>
      <w:r>
        <w:t>15. Национальная адаптация</w:t>
      </w:r>
    </w:p>
    <w:p>
      <w:pPr>
        <w:widowControl/>
      </w:pPr>
      <w:r>
        <w:rPr>
          <w:i w:val="0"/>
        </w:rPr>
        <w:t>Универсальная Доктрина закрепляет функции и пределы, а не обязательные названия учреждений. Национальная редакция вправе распределить функции иначе, если сохраняет разделение полномочий, независимый контроль, эффективное обжалование и отсутствие скрытого центра власти.</w:t>
      </w:r>
    </w:p>
    <w:p>
      <w:pPr>
        <w:widowControl/>
      </w:pPr>
      <w:r>
        <w:rPr>
          <w:i w:val="0"/>
        </w:rPr>
        <w:t>Адаптация не соответствует Доктрине, если:</w:t>
      </w:r>
    </w:p>
    <w:p>
      <w:pPr>
        <w:pStyle w:val="ListBullet"/>
        <w:widowControl/>
      </w:pPr>
      <w:r>
        <w:rPr>
          <w:i w:val="0"/>
        </w:rPr>
        <w:t>исполнительная власть получает контроль над формированием повестки или конечным перечнем;</w:t>
      </w:r>
    </w:p>
    <w:p>
      <w:pPr>
        <w:pStyle w:val="ListBullet"/>
        <w:widowControl/>
      </w:pPr>
      <w:r>
        <w:rPr>
          <w:i w:val="0"/>
        </w:rPr>
        <w:t>создаётся постоянный орган, совмещающий допуск, редакцию, голосование, данные, мониторинг и оценку;</w:t>
      </w:r>
    </w:p>
    <w:p>
      <w:pPr>
        <w:pStyle w:val="ListBullet"/>
        <w:widowControl/>
      </w:pPr>
      <w:r>
        <w:rPr>
          <w:i w:val="0"/>
        </w:rPr>
        <w:t>государственный субъект окончательно толкует политический смысл ответа кандидата;</w:t>
      </w:r>
    </w:p>
    <w:p>
      <w:pPr>
        <w:pStyle w:val="ListBullet"/>
        <w:widowControl/>
      </w:pPr>
      <w:r>
        <w:rPr>
          <w:i w:val="0"/>
        </w:rPr>
        <w:t>общественное поручение используется для связывания парламента, суда, региона или муниципалитета вне их конституционной компетенции;</w:t>
      </w:r>
    </w:p>
    <w:p>
      <w:pPr>
        <w:pStyle w:val="ListBullet"/>
        <w:widowControl/>
      </w:pPr>
      <w:r>
        <w:rPr>
          <w:i w:val="0"/>
        </w:rPr>
        <w:t>цифровой канал становится единственным фактически доступным способом участия;</w:t>
      </w:r>
    </w:p>
    <w:p>
      <w:pPr>
        <w:pStyle w:val="ListBullet"/>
        <w:widowControl/>
      </w:pPr>
      <w:r>
        <w:rPr>
          <w:i w:val="0"/>
        </w:rPr>
        <w:t>идентификационные данные и история политических действий могут быть объединены;</w:t>
      </w:r>
    </w:p>
    <w:p>
      <w:pPr>
        <w:pStyle w:val="ListBullet"/>
        <w:widowControl/>
      </w:pPr>
      <w:r>
        <w:rPr>
          <w:i w:val="0"/>
        </w:rPr>
        <w:t>решения не имеют реального пути обжалования, независимого аудита и автоматического прекращения временных полномочий.</w:t>
      </w:r>
    </w:p>
    <w:p>
      <w:pPr>
        <w:pStyle w:val="Heading2"/>
        <w:keepNext/>
        <w:widowControl/>
      </w:pPr>
      <w:r>
        <w:t>16. Наиболее сильные возражения и встроенные ответы</w:t>
      </w:r>
    </w:p>
    <w:p>
      <w:pPr>
        <w:pStyle w:val="Heading3"/>
        <w:keepNext/>
        <w:widowControl/>
      </w:pPr>
      <w:r>
        <w:t>16.1. «Доктрина всё равно создаёт второе государство внутри первого»</w:t>
      </w:r>
    </w:p>
    <w:p>
      <w:pPr>
        <w:widowControl/>
      </w:pPr>
      <w:r>
        <w:rPr>
          <w:i w:val="0"/>
        </w:rPr>
        <w:t>Встроенный ответ. Архитектура отказывается от постоянной квазичетвёртой ветви, использует существующие конституционные органы и создаёт только временные узкие функции. Ни один новый субъект не получает самостоятельной власти над законом, бюджетом, выборами или правами.</w:t>
      </w:r>
    </w:p>
    <w:p>
      <w:pPr>
        <w:pStyle w:val="Heading3"/>
        <w:keepNext/>
        <w:widowControl/>
      </w:pPr>
      <w:r>
        <w:t>16.2. «Существующие органы зависимы и потому не могут обеспечить независимость»</w:t>
      </w:r>
    </w:p>
    <w:p>
      <w:pPr>
        <w:widowControl/>
      </w:pPr>
      <w:r>
        <w:rPr>
          <w:i w:val="0"/>
        </w:rPr>
        <w:t>Встроенный ответ. Независимость распределяется: разные органы контролируют разные риски, решения оставляют проверяемый след, а критические данные и ключи не сосредоточиваются у одного субъекта. При полном одновременном захвате всех конституционных институтов абсолютная защита невозможна; задача Доктрины — не создавать дополнительный удобный инструмент такого захвата.</w:t>
      </w:r>
    </w:p>
    <w:p>
      <w:pPr>
        <w:pStyle w:val="Heading3"/>
        <w:keepNext/>
        <w:widowControl/>
      </w:pPr>
      <w:r>
        <w:t>16.3. «Временные панели будут непрофессиональны»</w:t>
      </w:r>
    </w:p>
    <w:p>
      <w:pPr>
        <w:widowControl/>
      </w:pPr>
      <w:r>
        <w:rPr>
          <w:i w:val="0"/>
        </w:rPr>
        <w:t>Встроенный ответ. Временность не отменяет квалификационных требований. Она ограничивает накопление власти и конфликта интересов. Профессиональная преемственность обеспечивается открытыми стандартами, архивом методик и внешней репликацией, а не несменяемостью одного корпуса.</w:t>
      </w:r>
    </w:p>
    <w:p>
      <w:pPr>
        <w:pStyle w:val="Heading3"/>
        <w:keepNext/>
        <w:widowControl/>
      </w:pPr>
      <w:r>
        <w:t>16.4. «Использование существующих институтов перегрузит их»</w:t>
      </w:r>
    </w:p>
    <w:p>
      <w:pPr>
        <w:widowControl/>
      </w:pPr>
      <w:r>
        <w:rPr>
          <w:i w:val="0"/>
        </w:rPr>
        <w:t>Встроенный ответ. Перед масштабированием проводится оценка административной мощности и стоимости. Функция не передаётся без ресурсов, обучения и предела нагрузки. Если более простая модернизация существующего института оказывается дешевле и надёжнее полной модели, применяется она.</w:t>
      </w:r>
    </w:p>
    <w:p>
      <w:pPr>
        <w:pStyle w:val="Heading2"/>
        <w:keepNext/>
        <w:widowControl/>
      </w:pPr>
      <w:r>
        <w:t>17. Связь с другими главами и вывод</w:t>
      </w:r>
    </w:p>
    <w:p>
      <w:pPr>
        <w:widowControl/>
      </w:pPr>
      <w:r>
        <w:rPr>
          <w:i w:val="0"/>
        </w:rPr>
        <w:t>Глава IX устанавливает защиту названной архитектуры от захвата. Главы X–XXX конкретизируют процессы и не могут создавать новые органы или полномочия без прохождения теста необходимости настоящей главы. Глава XXXI подчиняет внедрение пилотированию, обратимости и автоматическому прекращению.</w:t>
      </w:r>
    </w:p>
    <w:p>
      <w:pPr>
        <w:pStyle w:val="DoctrineQuote"/>
        <w:widowControl/>
      </w:pPr>
      <w:r>
        <w:rPr>
          <w:i w:val="0"/>
        </w:rPr>
        <w:t>Институциональная устойчивость достигается не количеством органов, а невозможностью одному субъекту одновременно формировать вопрос, определять его допустимость, управлять голосованием, владеть данными и выносить политический приговор.</w:t>
      </w:r>
    </w:p>
    <w:p>
      <w:pPr>
        <w:widowControl/>
      </w:pPr>
      <w:r>
        <w:br w:type="page"/>
      </w:r>
    </w:p>
    <w:p>
      <w:pPr>
        <w:pStyle w:val="Heading1"/>
        <w:keepNext/>
        <w:pageBreakBefore/>
        <w:spacing w:before="0" w:after="160"/>
        <w:widowControl/>
        <w:pBdr>
          <w:bottom w:val="single" w:sz="5" w:space="4" w:color="B4C6E7"/>
        </w:pBdr>
      </w:pPr>
      <w:r>
        <w:t>Глава IX. Независимость, подотчётность и защита системы от захвата</w:t>
      </w:r>
    </w:p>
    <w:p>
      <w:pPr>
        <w:pStyle w:val="Heading2"/>
        <w:keepNext/>
        <w:widowControl/>
      </w:pPr>
      <w:r>
        <w:t>1. Предмет, цель и предел обещания</w:t>
      </w:r>
    </w:p>
    <w:p>
      <w:pPr>
        <w:widowControl/>
      </w:pPr>
      <w:r>
        <w:rPr>
          <w:i w:val="0"/>
        </w:rPr>
        <w:t>Настоящая глава устанавливает защиту системы от политического, кадрового, финансового, методологического, редакционного, технического, информационного и бюрократического захвата. Проектирование исходит из враждебной среды: любой институт или полномочие однажды может оказаться у компетентного и политически мотивированного недобросовестного субъекта.</w:t>
      </w:r>
    </w:p>
    <w:p>
      <w:pPr>
        <w:widowControl/>
      </w:pPr>
      <w:r>
        <w:rPr>
          <w:i w:val="0"/>
        </w:rPr>
        <w:t>Доктрина не обещает абсолютной неуязвимости при полном разрушении конституционного строя, независимости суда, свободных выборов и прав человека. Её задача — не создавать дополнительный удобный механизм концентрации власти, повышать цену скрытого злоупотребления, обеспечивать раннее обнаружение и сохранять возможность безопасной остановки и восстановления.</w:t>
      </w:r>
    </w:p>
    <w:p>
      <w:pPr>
        <w:pStyle w:val="Heading2"/>
        <w:keepNext/>
        <w:widowControl/>
      </w:pPr>
      <w:r>
        <w:t>2. Независимость как проверяемое свойство функции</w:t>
      </w:r>
    </w:p>
    <w:p>
      <w:pPr>
        <w:widowControl/>
      </w:pPr>
      <w:r>
        <w:rPr>
          <w:i w:val="0"/>
        </w:rPr>
        <w:t>Наименование «независимый» не создаёт независимости. Для каждой функции отдельно проверяется, кто контролирует:</w:t>
      </w:r>
    </w:p>
    <w:p>
      <w:pPr>
        <w:pStyle w:val="ListBullet"/>
        <w:widowControl/>
      </w:pPr>
      <w:r>
        <w:rPr>
          <w:i w:val="0"/>
        </w:rPr>
        <w:t>назначение, продление полномочий и дисциплинарное воздействие;</w:t>
      </w:r>
    </w:p>
    <w:p>
      <w:pPr>
        <w:pStyle w:val="ListBullet"/>
        <w:widowControl/>
      </w:pPr>
      <w:r>
        <w:rPr>
          <w:i w:val="0"/>
        </w:rPr>
        <w:t>бюджет, закупки, штат и доступ к профессиональным ресурсам;</w:t>
      </w:r>
    </w:p>
    <w:p>
      <w:pPr>
        <w:pStyle w:val="ListBullet"/>
        <w:widowControl/>
      </w:pPr>
      <w:r>
        <w:rPr>
          <w:i w:val="0"/>
        </w:rPr>
        <w:t>методологию, исходные допущения, источники данных и порядок публикации;</w:t>
      </w:r>
    </w:p>
    <w:p>
      <w:pPr>
        <w:pStyle w:val="ListBullet"/>
        <w:widowControl/>
      </w:pPr>
      <w:r>
        <w:rPr>
          <w:i w:val="0"/>
        </w:rPr>
        <w:t>реестры, программный код, ключи, журналы и резервные копии;</w:t>
      </w:r>
    </w:p>
    <w:p>
      <w:pPr>
        <w:pStyle w:val="ListBullet"/>
        <w:widowControl/>
      </w:pPr>
      <w:r>
        <w:rPr>
          <w:i w:val="0"/>
        </w:rPr>
        <w:t>интерфейс, порядок показа, официальные резюме и коммуникационные каналы;</w:t>
      </w:r>
    </w:p>
    <w:p>
      <w:pPr>
        <w:pStyle w:val="ListBullet"/>
        <w:widowControl/>
      </w:pPr>
      <w:r>
        <w:rPr>
          <w:i w:val="0"/>
        </w:rPr>
        <w:t>апелляцию, исполнение решений и временные меры;</w:t>
      </w:r>
    </w:p>
    <w:p>
      <w:pPr>
        <w:pStyle w:val="ListBullet"/>
        <w:widowControl/>
      </w:pPr>
      <w:r>
        <w:rPr>
          <w:i w:val="0"/>
        </w:rPr>
        <w:t>изменение правил, чрезвычайные исключения и продление временных режимов.</w:t>
      </w:r>
    </w:p>
    <w:p>
      <w:pPr>
        <w:widowControl/>
      </w:pPr>
      <w:r>
        <w:rPr>
          <w:i w:val="0"/>
        </w:rPr>
        <w:t>Функция считается достаточно независимой только при сочетании ограниченного мандата, разделения контроля, прозрачного следа, внешней проверяемости, реального обжалования и невозможности безнаказанно присвоить соседнюю функцию.</w:t>
      </w:r>
    </w:p>
    <w:p>
      <w:pPr>
        <w:pStyle w:val="Heading2"/>
        <w:keepNext/>
        <w:widowControl/>
      </w:pPr>
      <w:r>
        <w:t>3. Карта угроз и основных ограничителей</w:t>
      </w:r>
    </w:p>
    <w:tbl>
      <w:tblPr>
        <w:tblW w:type="auto" w:w="0"/>
        <w:jc w:val="center"/>
        <w:tblLayout w:type="autofit"/>
        <w:tblLook w:firstColumn="1" w:firstRow="1" w:lastColumn="0" w:lastRow="0" w:noHBand="0" w:noVBand="1" w:val="04A0"/>
      </w:tblPr>
      <w:tblGrid>
        <w:gridCol w:w="3222"/>
        <w:gridCol w:w="3222"/>
        <w:gridCol w:w="3222"/>
      </w:tblGrid>
      <w:tr>
        <w:trPr>
          <w:tblHeader w:val="true"/>
          <w:cantSplit/>
          <w:tblHeader w:val="true"/>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6"/>
              </w:rPr>
              <w:t>Тип угрозы</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6"/>
              </w:rPr>
              <w:t>Механизм захвата</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17365D"/>
          </w:tcPr>
          <w:p>
            <w:pPr>
              <w:spacing w:after="40" w:before="0"/>
            </w:pPr>
            <w:r>
              <w:rPr>
                <w:rFonts w:ascii="Carlito" w:hAnsi="Carlito"/>
                <w:b/>
                <w:color w:val="FFFFFF"/>
                <w:sz w:val="16"/>
              </w:rPr>
              <w:t>Основной ограничитель</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Политический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Назначения, давление, использование «воли народа» против иных институтов.</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Разделение компетенций, запрет единого мандатного превосходства, смешанное и временное формирование функций.</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Редакционный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Смысл изменяется через объединение, сокращение, порядок или формулировку.</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Неизменяемый исходник, карта версий, согласие автора, апелляция и запрет совмещения с отбором.</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Правовой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Неудобные темы исключаются через широкие понятия безопасности, достоинства или порядка.</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Закрытые основания, минимальная редакция, судебная финальность и строгая соразмерность.</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Методологический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Вывод предопределяется горизонтом, базой, показателем или моделью.</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Альтернативные сценарии, чувствительность, открытые расчёты, особые мнения и репликация.</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Финансовый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Бюджетное удушение или защищённая расходная автономия.</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Обычный бюджет, публичная оценка достаточности, потолки, поэтапность, аудит и автоматическое прекращение по истечении срока.</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Технический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Единый поставщик контролирует идентификацию, код, журналы и доказательство результата.</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Разделение контуров, открытые стандарты, независимая сборка, несколько держателей и резерв.</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Информационный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Официальный интерфейс, маркировка или фактологический центр навязывают рамку.</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Нейтральный дизайн, отсутствие общего рейтинга, право на ответ и отказ от государственного арбитра политической истины.</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b/>
                <w:color w:val="000000"/>
                <w:sz w:val="16"/>
              </w:rPr>
              <w:t>Бюрократический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Система расширяет процедуры, штаты и отчётность ради собственного существования.</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shd w:fill="EEF2F5"/>
          </w:tcPr>
          <w:p>
            <w:pPr>
              <w:spacing w:after="40" w:before="0"/>
            </w:pPr>
            <w:r>
              <w:rPr>
                <w:rFonts w:ascii="Carlito" w:hAnsi="Carlito"/>
                <w:color w:val="000000"/>
                <w:sz w:val="16"/>
              </w:rPr>
              <w:t>Лимиты стоимости и стадий, измерение нагрузки, автоматическое прекращение и сравнение с простой альтернативой.</w:t>
            </w:r>
          </w:p>
        </w:tc>
      </w:tr>
      <w:tr>
        <w:trPr>
          <w:cantSplit/>
        </w:trPr>
        <w:tc>
          <w:tcPr>
            <w:tcW w:type="dxa" w:w="1361"/>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b/>
                <w:color w:val="000000"/>
                <w:sz w:val="16"/>
              </w:rPr>
              <w:t>Одновременный</w:t>
            </w:r>
          </w:p>
        </w:tc>
        <w:tc>
          <w:tcPr>
            <w:tcW w:type="dxa" w:w="4082"/>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Власть контролирует парламент, назначения, бюджет, оператора, СМИ, силовые органы и суд.</w:t>
            </w:r>
          </w:p>
        </w:tc>
        <w:tc>
          <w:tcPr>
            <w:tcW w:type="dxa" w:w="3969"/>
            <w:vAlign w:val="center"/>
            <w:tcMar>
              <w:top w:w="80" w:type="dxa"/>
              <w:start w:w="90" w:type="dxa"/>
              <w:bottom w:w="80" w:type="dxa"/>
              <w:end w:w="90" w:type="dxa"/>
            </w:tcMar>
            <w:tcBorders>
              <w:top w:val="single" w:sz="5" w:space="0" w:color="A7B6C4"/>
              <w:left w:val="single" w:sz="5" w:space="0" w:color="A7B6C4"/>
              <w:bottom w:val="single" w:sz="5" w:space="0" w:color="A7B6C4"/>
              <w:right w:val="single" w:sz="5" w:space="0" w:color="A7B6C4"/>
            </w:tcBorders>
          </w:tcPr>
          <w:p>
            <w:pPr>
              <w:spacing w:after="40" w:before="0"/>
            </w:pPr>
            <w:r>
              <w:rPr>
                <w:rFonts w:ascii="Carlito" w:hAnsi="Carlito"/>
                <w:color w:val="000000"/>
                <w:sz w:val="16"/>
              </w:rPr>
              <w:t>Минимизация централизуемых данных и полномочий, внешне проверяемый след, безопасный отказ и запрет превращения системы в репрессивный реестр.</w:t>
            </w:r>
          </w:p>
        </w:tc>
      </w:tr>
    </w:tbl>
    <w:p>
      <w:pPr>
        <w:widowControl/>
      </w:pPr>
    </w:p>
    <w:p>
      <w:pPr>
        <w:pStyle w:val="Heading2"/>
        <w:keepNext/>
        <w:widowControl/>
      </w:pPr>
      <w:r>
        <w:t>4. Пять обязательных разделений</w:t>
      </w:r>
    </w:p>
    <w:p>
      <w:pPr>
        <w:widowControl/>
        <w:ind w:left="312" w:hanging="227"/>
      </w:pPr>
      <w:r>
        <w:t>1. Идентификация личности отделяется от политического действия. Проверка права участия не должна создавать техническую возможность построить историю инициатив, поддержек, обсуждений и голосов гражданина.</w:t>
      </w:r>
    </w:p>
    <w:p>
      <w:pPr>
        <w:widowControl/>
        <w:ind w:left="312" w:hanging="227"/>
      </w:pPr>
      <w:r>
        <w:t>2. Редакционная подготовка отделяется от правовой допустимости и формирования конечного перечня. Редактор помогает выразить смысл, но не решает, достоин ли он политического выбора.</w:t>
      </w:r>
    </w:p>
    <w:p>
      <w:pPr>
        <w:widowControl/>
        <w:ind w:left="312" w:hanging="227"/>
      </w:pPr>
      <w:r>
        <w:t>3. Экспертиза последствий отделяется от приоритизации. Эксперт раскрывает цену, риски и альтернативы, но не превращает собственную модель в право вето.</w:t>
      </w:r>
    </w:p>
    <w:p>
      <w:pPr>
        <w:widowControl/>
        <w:ind w:left="312" w:hanging="227"/>
      </w:pPr>
      <w:r>
        <w:t>4. Эксплуатация цифровой системы отделяется от сертификации, подсчёта и окончательного установления результата. Ни один оператор не доказывает собственную добросовестность единолично.</w:t>
      </w:r>
    </w:p>
    <w:p>
      <w:pPr>
        <w:widowControl/>
        <w:ind w:left="312" w:hanging="227"/>
      </w:pPr>
      <w:r>
        <w:t>5. Текущий мониторинг фактов отделяется от итоговой политической оценки. Проверяемость данных не означает монополии одного органа на смысл достигнутого или недостигнутого результата.</w:t>
      </w:r>
    </w:p>
    <w:p>
      <w:pPr>
        <w:pStyle w:val="Heading2"/>
        <w:keepNext/>
        <w:widowControl/>
      </w:pPr>
      <w:r>
        <w:t>5. Защита от кадрового захвата</w:t>
      </w:r>
    </w:p>
    <w:p>
      <w:pPr>
        <w:widowControl/>
      </w:pPr>
      <w:r>
        <w:rPr>
          <w:i w:val="0"/>
        </w:rPr>
        <w:t>Кадровая система должна препятствовать как захвату одной политической силой, так и картельному разделу мест между признанными посредниками. Применяются в сочетании:</w:t>
      </w:r>
    </w:p>
    <w:p>
      <w:pPr>
        <w:pStyle w:val="ListBullet"/>
        <w:widowControl/>
      </w:pPr>
      <w:r>
        <w:rPr>
          <w:i w:val="0"/>
        </w:rPr>
        <w:t>открытые квалификационные требования, не подменяющие профессионализм идеологической лояльностью;</w:t>
      </w:r>
    </w:p>
    <w:p>
      <w:pPr>
        <w:pStyle w:val="ListBullet"/>
        <w:widowControl/>
      </w:pPr>
      <w:r>
        <w:rPr>
          <w:i w:val="0"/>
        </w:rPr>
        <w:t>публичный пул кандидатов и проверяемые основания отказа;</w:t>
      </w:r>
    </w:p>
    <w:p>
      <w:pPr>
        <w:pStyle w:val="ListBullet"/>
        <w:widowControl/>
      </w:pPr>
      <w:r>
        <w:rPr>
          <w:i w:val="0"/>
        </w:rPr>
        <w:t>несколько источников номинации без права одного источника назначить большинство;</w:t>
      </w:r>
    </w:p>
    <w:p>
      <w:pPr>
        <w:pStyle w:val="ListBullet"/>
        <w:widowControl/>
      </w:pPr>
      <w:r>
        <w:rPr>
          <w:i w:val="0"/>
        </w:rPr>
        <w:t>случайное распределение из проверенного пула там, где функция допускает жеребьёвку;</w:t>
      </w:r>
    </w:p>
    <w:p>
      <w:pPr>
        <w:pStyle w:val="ListBullet"/>
        <w:widowControl/>
      </w:pPr>
      <w:r>
        <w:rPr>
          <w:i w:val="0"/>
        </w:rPr>
        <w:t>короткий невозобновляемый срок и запрет последовательных несовместимых ролей;</w:t>
      </w:r>
    </w:p>
    <w:p>
      <w:pPr>
        <w:pStyle w:val="ListBullet"/>
        <w:widowControl/>
      </w:pPr>
      <w:r>
        <w:rPr>
          <w:i w:val="0"/>
        </w:rPr>
        <w:t>обязательное раскрытие интересов, отвод и независимая проверка сокрытия;</w:t>
      </w:r>
    </w:p>
    <w:p>
      <w:pPr>
        <w:pStyle w:val="ListBullet"/>
        <w:widowControl/>
      </w:pPr>
      <w:r>
        <w:rPr>
          <w:i w:val="0"/>
        </w:rPr>
        <w:t>невозможность досрочного освобождения за содержание добросовестного профессионального вывода;</w:t>
      </w:r>
    </w:p>
    <w:p>
      <w:pPr>
        <w:pStyle w:val="ListBullet"/>
        <w:widowControl/>
      </w:pPr>
      <w:r>
        <w:rPr>
          <w:i w:val="0"/>
        </w:rPr>
        <w:t>резервная процедура, не контролируемая единственным назначающим субъектом;</w:t>
      </w:r>
    </w:p>
    <w:p>
      <w:pPr>
        <w:pStyle w:val="ListBullet"/>
        <w:widowControl/>
      </w:pPr>
      <w:r>
        <w:rPr>
          <w:i w:val="0"/>
        </w:rPr>
        <w:t>публикация состава, квалификации, оснований назначения и статистики отводов.</w:t>
      </w:r>
    </w:p>
    <w:p>
      <w:pPr>
        <w:widowControl/>
      </w:pPr>
      <w:r>
        <w:rPr>
          <w:i w:val="0"/>
        </w:rPr>
        <w:t>Квоты по секторам не используются автоматически: они способны закреплять монополию избранных организаций. При необходимости разнообразия применяются объективные признаки, случайный отбор, ротация и периодический пересмотр.</w:t>
      </w:r>
    </w:p>
    <w:p>
      <w:pPr>
        <w:pStyle w:val="Heading2"/>
        <w:keepNext/>
        <w:widowControl/>
      </w:pPr>
      <w:r>
        <w:t>6. Защита от финансового захвата</w:t>
      </w:r>
    </w:p>
    <w:p>
      <w:pPr>
        <w:widowControl/>
      </w:pPr>
      <w:r>
        <w:rPr>
          <w:i w:val="0"/>
        </w:rPr>
        <w:t>Бюджет системы утверждается парламентом в обычном порядке. Финансовая независимость не означает иммунитета от демократического бюджетного контроля, но сокращение средств не должно использоваться скрыто для уничтожения доступности, безопасности или аудита.</w:t>
      </w:r>
    </w:p>
    <w:p>
      <w:pPr>
        <w:widowControl/>
      </w:pPr>
      <w:r>
        <w:rPr>
          <w:i w:val="0"/>
        </w:rPr>
        <w:t>Применяются:</w:t>
      </w:r>
    </w:p>
    <w:p>
      <w:pPr>
        <w:pStyle w:val="ListBullet"/>
        <w:widowControl/>
      </w:pPr>
      <w:r>
        <w:rPr>
          <w:i w:val="0"/>
        </w:rPr>
        <w:t>публичная функциональная смета с разделением обязательного минимума, переменных расходов и капитальных вложений;</w:t>
      </w:r>
    </w:p>
    <w:p>
      <w:pPr>
        <w:pStyle w:val="ListBullet"/>
        <w:widowControl/>
      </w:pPr>
      <w:r>
        <w:rPr>
          <w:i w:val="0"/>
        </w:rPr>
        <w:t>предельная численность, стоимость на участника, стоимость на обработанный и дошедший до решения пункт;</w:t>
      </w:r>
    </w:p>
    <w:p>
      <w:pPr>
        <w:pStyle w:val="ListBullet"/>
        <w:widowControl/>
      </w:pPr>
      <w:r>
        <w:rPr>
          <w:i w:val="0"/>
        </w:rPr>
        <w:t>поэтапное финансирование после заранее установленных ворот качества;</w:t>
      </w:r>
    </w:p>
    <w:p>
      <w:pPr>
        <w:pStyle w:val="ListBullet"/>
        <w:widowControl/>
      </w:pPr>
      <w:r>
        <w:rPr>
          <w:i w:val="0"/>
        </w:rPr>
        <w:t>независимое заключение о последствиях существенного сокращения без права блокировать бюджетное решение;</w:t>
      </w:r>
    </w:p>
    <w:p>
      <w:pPr>
        <w:pStyle w:val="ListBullet"/>
        <w:widowControl/>
      </w:pPr>
      <w:r>
        <w:rPr>
          <w:i w:val="0"/>
        </w:rPr>
        <w:t>открытые закупки, переносимость данных, отсутствие необоснованной эксклюзивности и обязательный план выхода от поставщика;</w:t>
      </w:r>
    </w:p>
    <w:p>
      <w:pPr>
        <w:pStyle w:val="ListBullet"/>
        <w:widowControl/>
      </w:pPr>
      <w:r>
        <w:rPr>
          <w:i w:val="0"/>
        </w:rPr>
        <w:t>запрет частного финансирования официальной функции и скрытых натуральных вкладов;</w:t>
      </w:r>
    </w:p>
    <w:p>
      <w:pPr>
        <w:pStyle w:val="ListBullet"/>
        <w:widowControl/>
      </w:pPr>
      <w:r>
        <w:rPr>
          <w:i w:val="0"/>
        </w:rPr>
        <w:t>автоматический пересмотр, сокращение или прекращение расходов после каждого цикла.</w:t>
      </w:r>
    </w:p>
    <w:p>
      <w:pPr>
        <w:widowControl/>
      </w:pPr>
      <w:r>
        <w:rPr>
          <w:i w:val="0"/>
        </w:rPr>
        <w:t>Парламент вправе изменить объём финансирования, но обязан публично показать, какие функции сокращаются, какие риски принимаются и почему более простой вариант достаточен. Само по себе несогласие с формулой бюджета не влечёт судебного предписания конкретной суммы.</w:t>
      </w:r>
    </w:p>
    <w:p>
      <w:pPr>
        <w:pStyle w:val="Heading2"/>
        <w:keepNext/>
        <w:widowControl/>
      </w:pPr>
      <w:r>
        <w:t>7. Защита от методологического и экспертного захвата</w:t>
      </w:r>
    </w:p>
    <w:p>
      <w:pPr>
        <w:widowControl/>
      </w:pPr>
      <w:r>
        <w:rPr>
          <w:i w:val="0"/>
        </w:rPr>
        <w:t>Любая сложная оценка содержит ценностные и прогнозные допущения. Поэтому независимость достигается не заявлением о нейтральности, а наблюдаемой состязательностью и воспроизводимостью.</w:t>
      </w:r>
    </w:p>
    <w:p>
      <w:pPr>
        <w:pStyle w:val="ListBullet"/>
        <w:widowControl/>
      </w:pPr>
      <w:r>
        <w:rPr>
          <w:i w:val="0"/>
        </w:rPr>
        <w:t>публикуются базовый и альтернативные сценарии, диапазоны и чувствительность к ключевым параметрам;</w:t>
      </w:r>
    </w:p>
    <w:p>
      <w:pPr>
        <w:pStyle w:val="ListBullet"/>
        <w:widowControl/>
      </w:pPr>
      <w:r>
        <w:rPr>
          <w:i w:val="0"/>
        </w:rPr>
        <w:t>различаются фактические данные, нормативные предпосылки, экспертные суждения и политические выборы;</w:t>
      </w:r>
    </w:p>
    <w:p>
      <w:pPr>
        <w:pStyle w:val="ListBullet"/>
        <w:widowControl/>
      </w:pPr>
      <w:r>
        <w:rPr>
          <w:i w:val="0"/>
        </w:rPr>
        <w:t>исходные модели и код доступны для независимой репликации в допустимом объёме;</w:t>
      </w:r>
    </w:p>
    <w:p>
      <w:pPr>
        <w:pStyle w:val="ListBullet"/>
        <w:widowControl/>
      </w:pPr>
      <w:r>
        <w:rPr>
          <w:i w:val="0"/>
        </w:rPr>
        <w:t>особые мнения публикуются вместе с основным заключением;</w:t>
      </w:r>
    </w:p>
    <w:p>
      <w:pPr>
        <w:pStyle w:val="ListBullet"/>
        <w:widowControl/>
      </w:pPr>
      <w:r>
        <w:rPr>
          <w:i w:val="0"/>
        </w:rPr>
        <w:t>не создаётся закрытая профессиональная каста с монополией на допустимую методику;</w:t>
      </w:r>
    </w:p>
    <w:p>
      <w:pPr>
        <w:pStyle w:val="ListBullet"/>
        <w:widowControl/>
      </w:pPr>
      <w:r>
        <w:rPr>
          <w:i w:val="0"/>
        </w:rPr>
        <w:t>смена методики не переписывает исторический ряд и сопровождается расчётом по прежнему стандарту;</w:t>
      </w:r>
    </w:p>
    <w:p>
      <w:pPr>
        <w:pStyle w:val="ListBullet"/>
        <w:widowControl/>
      </w:pPr>
      <w:r>
        <w:rPr>
          <w:i w:val="0"/>
        </w:rPr>
        <w:t>ответственность эксперта наступает за сокрытие конфликта, фальсификацию и грубую небрежность, но не за добросовестный ошибочный прогноз.</w:t>
      </w:r>
    </w:p>
    <w:p>
      <w:pPr>
        <w:widowControl/>
      </w:pPr>
      <w:r>
        <w:rPr>
          <w:i w:val="0"/>
        </w:rPr>
        <w:t>Экспертный вывод не является самостоятельным основанием политического отсева, кроме узких правовых случаев, определённых отдельной главой.</w:t>
      </w:r>
    </w:p>
    <w:p>
      <w:pPr>
        <w:pStyle w:val="Heading2"/>
        <w:keepNext/>
        <w:widowControl/>
      </w:pPr>
      <w:r>
        <w:t>8. Защита от редакционного и процедурного захвата</w:t>
      </w:r>
    </w:p>
    <w:p>
      <w:pPr>
        <w:pStyle w:val="ListBullet"/>
        <w:widowControl/>
      </w:pPr>
      <w:r>
        <w:rPr>
          <w:i w:val="0"/>
        </w:rPr>
        <w:t>исходная инициатива сохраняется неизменяемой и доступной рядом с каждой рабочей версией;</w:t>
      </w:r>
    </w:p>
    <w:p>
      <w:pPr>
        <w:pStyle w:val="ListBullet"/>
        <w:widowControl/>
      </w:pPr>
      <w:r>
        <w:rPr>
          <w:i w:val="0"/>
        </w:rPr>
        <w:t>объединение и разделение сопровождаются публичной картой сходства и различий;</w:t>
      </w:r>
    </w:p>
    <w:p>
      <w:pPr>
        <w:pStyle w:val="ListBullet"/>
        <w:widowControl/>
      </w:pPr>
      <w:r>
        <w:rPr>
          <w:i w:val="0"/>
        </w:rPr>
        <w:t>существенное изменение требует согласия представителя инициативы или отдельного отображения несогласной версии;</w:t>
      </w:r>
    </w:p>
    <w:p>
      <w:pPr>
        <w:pStyle w:val="ListBullet"/>
        <w:widowControl/>
      </w:pPr>
      <w:r>
        <w:rPr>
          <w:i w:val="0"/>
        </w:rPr>
        <w:t>порядок показа, лимиты текста и правила кластеризации устанавливаются до цикла и проходят независимый аудит;</w:t>
      </w:r>
    </w:p>
    <w:p>
      <w:pPr>
        <w:pStyle w:val="ListBullet"/>
        <w:widowControl/>
      </w:pPr>
      <w:r>
        <w:rPr>
          <w:i w:val="0"/>
        </w:rPr>
        <w:t>отбор не основывается на закрытых категориях качества, государственности, разумности или политической зрелости;</w:t>
      </w:r>
    </w:p>
    <w:p>
      <w:pPr>
        <w:pStyle w:val="ListBullet"/>
        <w:widowControl/>
      </w:pPr>
      <w:r>
        <w:rPr>
          <w:i w:val="0"/>
        </w:rPr>
        <w:t>все отказы и изменения имеют автора, паспорт решения и ускоренную жалобу;</w:t>
      </w:r>
    </w:p>
    <w:p>
      <w:pPr>
        <w:pStyle w:val="ListBullet"/>
        <w:widowControl/>
      </w:pPr>
      <w:r>
        <w:rPr>
          <w:i w:val="0"/>
        </w:rPr>
        <w:t>статистика ошибок и отмен решений публикуется без раскрытия политического профиля граждан.</w:t>
      </w:r>
    </w:p>
    <w:p>
      <w:pPr>
        <w:widowControl/>
      </w:pPr>
      <w:r>
        <w:rPr>
          <w:i w:val="0"/>
        </w:rPr>
        <w:t>Захват повестки считается более опасным, чем явная агитация, поскольку исключённая до голосования тема не может быть восстановлена обычной электоральной конкуренцией. Поэтому ранние стадии получают наиболее строгую прослеживаемость.</w:t>
      </w:r>
    </w:p>
    <w:p>
      <w:pPr>
        <w:pStyle w:val="Heading2"/>
        <w:keepNext/>
        <w:widowControl/>
      </w:pPr>
      <w:r>
        <w:t>9. Защита от технического захвата и зависимости от поставщика</w:t>
      </w:r>
    </w:p>
    <w:p>
      <w:pPr>
        <w:widowControl/>
      </w:pPr>
      <w:r>
        <w:rPr>
          <w:i w:val="0"/>
        </w:rPr>
        <w:t>Открытый исходный код является необходимым, но недостаточным условием: он не доказывает, что именно опубликованная сборка работала, что цепочка поставок не была изменена и что метаданные не связывались вне основного приложения.</w:t>
      </w:r>
    </w:p>
    <w:p>
      <w:pPr>
        <w:widowControl/>
      </w:pPr>
      <w:r>
        <w:rPr>
          <w:i w:val="0"/>
        </w:rPr>
        <w:t>Обязательны:</w:t>
      </w:r>
    </w:p>
    <w:p>
      <w:pPr>
        <w:pStyle w:val="ListBullet"/>
        <w:widowControl/>
      </w:pPr>
      <w:r>
        <w:rPr>
          <w:i w:val="0"/>
        </w:rPr>
        <w:t>открытые протоколы и форматы, документированный SBOM и воспроизводимые сборки критических компонентов;</w:t>
      </w:r>
    </w:p>
    <w:p>
      <w:pPr>
        <w:pStyle w:val="ListBullet"/>
        <w:widowControl/>
      </w:pPr>
      <w:r>
        <w:rPr>
          <w:i w:val="0"/>
        </w:rPr>
        <w:t>разделение поставщиков либо функциональных команд для идентификации, политического действия, подсчёта и аудита;</w:t>
      </w:r>
    </w:p>
    <w:p>
      <w:pPr>
        <w:pStyle w:val="ListBullet"/>
        <w:widowControl/>
      </w:pPr>
      <w:r>
        <w:rPr>
          <w:i w:val="0"/>
        </w:rPr>
        <w:t>многостороннее управление ключами и невозможность единоличного доступа к связывающим данным;</w:t>
      </w:r>
    </w:p>
    <w:p>
      <w:pPr>
        <w:pStyle w:val="ListBullet"/>
        <w:widowControl/>
      </w:pPr>
      <w:r>
        <w:rPr>
          <w:i w:val="0"/>
        </w:rPr>
        <w:t>независимые атаковые испытания независимой командой и испытания на корреляцию и повторную идентификацию до каждого юридически значимого применения;</w:t>
      </w:r>
    </w:p>
    <w:p>
      <w:pPr>
        <w:pStyle w:val="ListBullet"/>
        <w:widowControl/>
      </w:pPr>
      <w:r>
        <w:rPr>
          <w:i w:val="0"/>
        </w:rPr>
        <w:t>неизменяемые журналы, которые доказывают корректность процесса, но не раскрывают политический выбор гражданина;</w:t>
      </w:r>
    </w:p>
    <w:p>
      <w:pPr>
        <w:pStyle w:val="ListBullet"/>
        <w:widowControl/>
      </w:pPr>
      <w:r>
        <w:rPr>
          <w:i w:val="0"/>
        </w:rPr>
        <w:t>регулярная проверка резервных копий, доказуемого удаления, восстановления и аварийного продолжения;</w:t>
      </w:r>
    </w:p>
    <w:p>
      <w:pPr>
        <w:pStyle w:val="ListBullet"/>
        <w:widowControl/>
      </w:pPr>
      <w:r>
        <w:rPr>
          <w:i w:val="0"/>
        </w:rPr>
        <w:t>бумажный или иной независимый материальный источник проверки там, где результат имеет юридическое значение;</w:t>
      </w:r>
    </w:p>
    <w:p>
      <w:pPr>
        <w:pStyle w:val="ListBullet"/>
        <w:widowControl/>
      </w:pPr>
      <w:r>
        <w:rPr>
          <w:i w:val="0"/>
        </w:rPr>
        <w:t>право технического контролёра остановить небезопасный компонент при одновременном запрете единолично отменять весь политический результат.</w:t>
      </w:r>
    </w:p>
    <w:p>
      <w:pPr>
        <w:pStyle w:val="Heading2"/>
        <w:keepNext/>
        <w:widowControl/>
      </w:pPr>
      <w:r>
        <w:t>10. Защита от информационного захвата</w:t>
      </w:r>
    </w:p>
    <w:p>
      <w:pPr>
        <w:widowControl/>
      </w:pPr>
      <w:r>
        <w:rPr>
          <w:i w:val="0"/>
        </w:rPr>
        <w:t>Официальная информационная среда должна помогать сравнивать, но не подталкивать к заранее выбранному ответу. Она не становится единственным легитимным форумом политической речи.</w:t>
      </w:r>
    </w:p>
    <w:p>
      <w:pPr>
        <w:pStyle w:val="ListBullet"/>
        <w:widowControl/>
      </w:pPr>
      <w:r>
        <w:rPr>
          <w:i w:val="0"/>
        </w:rPr>
        <w:t>порядок тем и кандидатов ротируется либо определяется проверяемым нейтральным способом;</w:t>
      </w:r>
    </w:p>
    <w:p>
      <w:pPr>
        <w:pStyle w:val="ListBullet"/>
        <w:widowControl/>
      </w:pPr>
      <w:r>
        <w:rPr>
          <w:i w:val="0"/>
        </w:rPr>
        <w:t>цвета, размеры, фильтры, уведомления и значения по умолчанию проходят независимый аудит пользовательского интерфейса;</w:t>
      </w:r>
    </w:p>
    <w:p>
      <w:pPr>
        <w:pStyle w:val="ListBullet"/>
        <w:widowControl/>
      </w:pPr>
      <w:r>
        <w:rPr>
          <w:i w:val="0"/>
        </w:rPr>
        <w:t>запрещён единый агрегированный рейтинг «соответствия общественной воле»;</w:t>
      </w:r>
    </w:p>
    <w:p>
      <w:pPr>
        <w:pStyle w:val="ListBullet"/>
        <w:widowControl/>
      </w:pPr>
      <w:r>
        <w:rPr>
          <w:i w:val="0"/>
        </w:rPr>
        <w:t>официальные факты, ответы участников и аналитические выводы визуально и юридически разделяются;</w:t>
      </w:r>
    </w:p>
    <w:p>
      <w:pPr>
        <w:pStyle w:val="ListBullet"/>
        <w:widowControl/>
      </w:pPr>
      <w:r>
        <w:rPr>
          <w:i w:val="0"/>
        </w:rPr>
        <w:t>регулируются происхождение материалов, подделка официальных документов, скрытый заказчик, ложные инструкции о процедуре и незаконное использование данных;</w:t>
      </w:r>
    </w:p>
    <w:p>
      <w:pPr>
        <w:pStyle w:val="ListBullet"/>
        <w:widowControl/>
      </w:pPr>
      <w:r>
        <w:rPr>
          <w:i w:val="0"/>
        </w:rPr>
        <w:t>политические мнения, прогнозы, сатира, научные споры и добросовестные ошибки не получают государственной санкционной маркировки истины или ложности;</w:t>
      </w:r>
    </w:p>
    <w:p>
      <w:pPr>
        <w:pStyle w:val="ListBullet"/>
        <w:widowControl/>
      </w:pPr>
      <w:r>
        <w:rPr>
          <w:i w:val="0"/>
        </w:rPr>
        <w:t>кандидат, инициатор, эксперт и затронутый субъект имеют быстрое право исправить фактическую ошибку и разместить ответ рядом с спорным материалом.</w:t>
      </w:r>
    </w:p>
    <w:p>
      <w:pPr>
        <w:widowControl/>
      </w:pPr>
      <w:r>
        <w:rPr>
          <w:i w:val="0"/>
        </w:rPr>
        <w:t>Не создаётся центр, способный присваивать общеполитическим высказываниям официальный статус истины. Противодействие манипуляции направляется на прозрачность происхождения и доказуемые нарушения, а не на контроль допустимой интерпретации.</w:t>
      </w:r>
    </w:p>
    <w:p>
      <w:pPr>
        <w:pStyle w:val="Heading2"/>
        <w:keepNext/>
        <w:widowControl/>
      </w:pPr>
      <w:r>
        <w:t>11. Стабильность правил</w:t>
      </w:r>
    </w:p>
    <w:p>
      <w:pPr>
        <w:widowControl/>
      </w:pPr>
      <w:r>
        <w:rPr>
          <w:i w:val="0"/>
        </w:rPr>
        <w:t>Фундаментальные правила формирования перечня, пороги, критерии, порядок назначения, интерфейсные стандарты и методика установления результата не изменяются специально под конкретный цикл в период, установленный национальным законом.</w:t>
      </w:r>
    </w:p>
    <w:p>
      <w:pPr>
        <w:widowControl/>
      </w:pPr>
      <w:r>
        <w:rPr>
          <w:i w:val="0"/>
        </w:rPr>
        <w:t>Немедленное изменение допускается только для устранения доказанного нарушения прав или критической технической уязвимости. Оно должно быть минимальным, временным, публично мотивированным, иметь отдельный идентификатор версии, независимую проверку и не изменять политическое содержание уже поданных действий задним числом.</w:t>
      </w:r>
    </w:p>
    <w:p>
      <w:pPr>
        <w:pStyle w:val="Heading2"/>
        <w:keepNext/>
        <w:widowControl/>
      </w:pPr>
      <w:r>
        <w:t>12. Защита от бюрократического разрастания</w:t>
      </w:r>
    </w:p>
    <w:p>
      <w:pPr>
        <w:pStyle w:val="ListBullet"/>
        <w:widowControl/>
      </w:pPr>
      <w:r>
        <w:rPr>
          <w:i w:val="0"/>
        </w:rPr>
        <w:t>каждая новая обязанность сопровождается оценкой времени гражданина, органов и иных участников;</w:t>
      </w:r>
    </w:p>
    <w:p>
      <w:pPr>
        <w:pStyle w:val="ListBullet"/>
        <w:widowControl/>
      </w:pPr>
      <w:r>
        <w:rPr>
          <w:i w:val="0"/>
        </w:rPr>
        <w:t>дублирующие отчёты заменяются единым машиночитаемым набором данных;</w:t>
      </w:r>
    </w:p>
    <w:p>
      <w:pPr>
        <w:pStyle w:val="ListBullet"/>
        <w:widowControl/>
      </w:pPr>
      <w:r>
        <w:rPr>
          <w:i w:val="0"/>
        </w:rPr>
        <w:t>постоянные штаты не создаются для функций одного цикла;</w:t>
      </w:r>
    </w:p>
    <w:p>
      <w:pPr>
        <w:pStyle w:val="ListBullet"/>
        <w:widowControl/>
      </w:pPr>
      <w:r>
        <w:rPr>
          <w:i w:val="0"/>
        </w:rPr>
        <w:t>число обязательных стадий и документов ограничивается настоящей Доктриной;</w:t>
      </w:r>
    </w:p>
    <w:p>
      <w:pPr>
        <w:pStyle w:val="ListBullet"/>
        <w:widowControl/>
      </w:pPr>
      <w:r>
        <w:rPr>
          <w:i w:val="0"/>
        </w:rPr>
        <w:t>в каждом пилоте измеряется альтернативная стоимость по сравнению с усиленной системой инициатив, слушаний и открытых данных;</w:t>
      </w:r>
    </w:p>
    <w:p>
      <w:pPr>
        <w:pStyle w:val="ListBullet"/>
        <w:widowControl/>
      </w:pPr>
      <w:r>
        <w:rPr>
          <w:i w:val="0"/>
        </w:rPr>
        <w:t>орган или модуль автоматически прекращается, если не подтверждён после независимой оценки;</w:t>
      </w:r>
    </w:p>
    <w:p>
      <w:pPr>
        <w:pStyle w:val="ListBullet"/>
        <w:widowControl/>
      </w:pPr>
      <w:r>
        <w:rPr>
          <w:i w:val="0"/>
        </w:rPr>
        <w:t>поставщик, оператор или профессиональное сообщество не участвует в решении о продлении собственного контракта или функции;</w:t>
      </w:r>
    </w:p>
    <w:p>
      <w:pPr>
        <w:pStyle w:val="ListBullet"/>
        <w:widowControl/>
      </w:pPr>
      <w:r>
        <w:rPr>
          <w:i w:val="0"/>
        </w:rPr>
        <w:t>усложнение допускается только при доказательстве, что более простая мера не закрывает конкретный риск.</w:t>
      </w:r>
    </w:p>
    <w:p>
      <w:pPr>
        <w:pStyle w:val="Heading2"/>
        <w:keepNext/>
        <w:widowControl/>
      </w:pPr>
      <w:r>
        <w:t>13. Обязательный тест одновременного захвата</w:t>
      </w:r>
    </w:p>
    <w:p>
      <w:pPr>
        <w:widowControl/>
      </w:pPr>
      <w:r>
        <w:rPr>
          <w:i w:val="0"/>
        </w:rPr>
        <w:t>Перед внедрением каждая глава и каждый модуль проходят тест сценария, в котором правительство, парламентское большинство, часть судов, назначения, бюджет, силовые органы, государственные платформы, крупные подрядчики и значительная информационная инфраструктура действуют согласованно и недобросовестно.</w:t>
      </w:r>
    </w:p>
    <w:p>
      <w:pPr>
        <w:widowControl/>
      </w:pPr>
      <w:r>
        <w:rPr>
          <w:i w:val="0"/>
        </w:rPr>
        <w:t>Даже в таком сценарии архитектура не должна позволять:</w:t>
      </w:r>
    </w:p>
    <w:p>
      <w:pPr>
        <w:pStyle w:val="ListBullet"/>
        <w:widowControl/>
      </w:pPr>
      <w:r>
        <w:rPr>
          <w:i w:val="0"/>
        </w:rPr>
        <w:t>тихо создать единый политический профиль гражданина из официальных данных;</w:t>
      </w:r>
    </w:p>
    <w:p>
      <w:pPr>
        <w:pStyle w:val="ListBullet"/>
        <w:widowControl/>
      </w:pPr>
      <w:r>
        <w:rPr>
          <w:i w:val="0"/>
        </w:rPr>
        <w:t>придать пункту прямой юридический эффект через внутреннюю классификацию Доктрины;</w:t>
      </w:r>
    </w:p>
    <w:p>
      <w:pPr>
        <w:pStyle w:val="ListBullet"/>
        <w:widowControl/>
      </w:pPr>
      <w:r>
        <w:rPr>
          <w:i w:val="0"/>
        </w:rPr>
        <w:t>незаметно удалить неудобную инициативу без исходного текста, автора решения и пути обжалования;</w:t>
      </w:r>
    </w:p>
    <w:p>
      <w:pPr>
        <w:pStyle w:val="ListBullet"/>
        <w:widowControl/>
      </w:pPr>
      <w:r>
        <w:rPr>
          <w:i w:val="0"/>
        </w:rPr>
        <w:t>автоматически лишить кандидата или гражданина избирательного права за политическую позицию;</w:t>
      </w:r>
    </w:p>
    <w:p>
      <w:pPr>
        <w:pStyle w:val="ListBullet"/>
        <w:widowControl/>
      </w:pPr>
      <w:r>
        <w:rPr>
          <w:i w:val="0"/>
        </w:rPr>
        <w:t>использовать поручение как превосходящий мандат против парламента, суда, региона, муниципалитета или меньшинства;</w:t>
      </w:r>
    </w:p>
    <w:p>
      <w:pPr>
        <w:pStyle w:val="ListBullet"/>
        <w:widowControl/>
      </w:pPr>
      <w:r>
        <w:rPr>
          <w:i w:val="0"/>
        </w:rPr>
        <w:t>сохранить временный орган, исключение или базу данных без автоматического прекращения и нового законного решения;</w:t>
      </w:r>
    </w:p>
    <w:p>
      <w:pPr>
        <w:pStyle w:val="ListBullet"/>
        <w:widowControl/>
      </w:pPr>
      <w:r>
        <w:rPr>
          <w:i w:val="0"/>
        </w:rPr>
        <w:t>объявить цифровой результат достоверным исключительно на основании утверждения контролируемого оператора.</w:t>
      </w:r>
    </w:p>
    <w:p>
      <w:pPr>
        <w:widowControl/>
      </w:pPr>
      <w:r>
        <w:rPr>
          <w:i w:val="0"/>
        </w:rPr>
        <w:t>При невозможности обеспечить эти минимальные свойства соответствующий модуль не запускается либо прекращается через безопасный отказ. Доктрина не должна сохранять механизм только ради символической непрерывности.</w:t>
      </w:r>
    </w:p>
    <w:p>
      <w:pPr>
        <w:pStyle w:val="Heading3"/>
        <w:keepNext/>
        <w:widowControl/>
      </w:pPr>
      <w:r>
        <w:t>13.1. Кворум институциональной независимости</w:t>
      </w:r>
    </w:p>
    <w:p>
      <w:pPr>
        <w:widowControl/>
      </w:pPr>
      <w:r>
        <w:t>Для каждой критической стадии заранее определяются несовместимые держатели полномочий, минимальное число действительно внешних подтверждений и признаки утраты независимости. Взаимозависимые государственные подтверждения не заменяют отсутствующий независимый контур.</w:t>
      </w:r>
    </w:p>
    <w:p>
      <w:pPr>
        <w:widowControl/>
      </w:pPr>
      <w:r>
        <w:t>При утрате кворума независимости действует режим безопасного коллапса: сертификация общественного мандата, юридически значимого цифрового результата или усиленного кандидатского режима автоматически прекращается. Данные могут публиковаться только как оспариваемые и не создают официальный статус.</w:t>
      </w:r>
    </w:p>
    <w:p>
      <w:pPr>
        <w:widowControl/>
      </w:pPr>
      <w:r>
        <w:t>Карта независимости охватывает не только формальные органы, но и поставщиков, общую телеметрию, кадровые связи, бюджет, ключи доступа, идентификационную инфраструктуру и возможность внешней репликации.</w:t>
      </w:r>
    </w:p>
    <w:p>
      <w:pPr>
        <w:pStyle w:val="Heading2"/>
        <w:keepNext/>
        <w:widowControl/>
      </w:pPr>
      <w:r>
        <w:t>14. Индикаторы раннего захвата</w:t>
      </w:r>
    </w:p>
    <w:p>
      <w:pPr>
        <w:widowControl/>
      </w:pPr>
      <w:r>
        <w:rPr>
          <w:i w:val="0"/>
        </w:rPr>
        <w:t>Публично отслеживаются, как минимум:</w:t>
      </w:r>
    </w:p>
    <w:p>
      <w:pPr>
        <w:pStyle w:val="ListBullet"/>
        <w:widowControl/>
      </w:pPr>
      <w:r>
        <w:rPr>
          <w:i w:val="0"/>
        </w:rPr>
        <w:t>концентрация назначений и повторное участие одних лиц в несовместимых ролях;</w:t>
      </w:r>
    </w:p>
    <w:p>
      <w:pPr>
        <w:pStyle w:val="ListBullet"/>
        <w:widowControl/>
      </w:pPr>
      <w:r>
        <w:rPr>
          <w:i w:val="0"/>
        </w:rPr>
        <w:t>рост доли решений без полного паспорта, задержек, закрытых мотивировок и отмен по жалобам;</w:t>
      </w:r>
    </w:p>
    <w:p>
      <w:pPr>
        <w:pStyle w:val="ListBullet"/>
        <w:widowControl/>
      </w:pPr>
      <w:r>
        <w:rPr>
          <w:i w:val="0"/>
        </w:rPr>
        <w:t>необъяснимое расхождение помощи и сроков для разных политических позиций;</w:t>
      </w:r>
    </w:p>
    <w:p>
      <w:pPr>
        <w:pStyle w:val="ListBullet"/>
        <w:widowControl/>
      </w:pPr>
      <w:r>
        <w:rPr>
          <w:i w:val="0"/>
        </w:rPr>
        <w:t>систематическое изменение методик, базовых линий и интерфейсных правил перед неудобными результатами;</w:t>
      </w:r>
    </w:p>
    <w:p>
      <w:pPr>
        <w:pStyle w:val="ListBullet"/>
        <w:widowControl/>
      </w:pPr>
      <w:r>
        <w:rPr>
          <w:i w:val="0"/>
        </w:rPr>
        <w:t>зависимость критических функций от одного поставщика или источника данных;</w:t>
      </w:r>
    </w:p>
    <w:p>
      <w:pPr>
        <w:pStyle w:val="ListBullet"/>
        <w:widowControl/>
      </w:pPr>
      <w:r>
        <w:rPr>
          <w:i w:val="0"/>
        </w:rPr>
        <w:t>расширение исключений для безопасности, тайны и антифрода;</w:t>
      </w:r>
    </w:p>
    <w:p>
      <w:pPr>
        <w:pStyle w:val="ListBullet"/>
        <w:widowControl/>
      </w:pPr>
      <w:r>
        <w:rPr>
          <w:i w:val="0"/>
        </w:rPr>
        <w:t>рост стоимости при падении числа участников и качества результата;</w:t>
      </w:r>
    </w:p>
    <w:p>
      <w:pPr>
        <w:pStyle w:val="ListBullet"/>
        <w:widowControl/>
      </w:pPr>
      <w:r>
        <w:rPr>
          <w:i w:val="0"/>
        </w:rPr>
        <w:t>устойчивый социальный, региональный, языковой или цифровой перекос участия;</w:t>
      </w:r>
    </w:p>
    <w:p>
      <w:pPr>
        <w:pStyle w:val="ListBullet"/>
        <w:widowControl/>
      </w:pPr>
      <w:r>
        <w:rPr>
          <w:i w:val="0"/>
        </w:rPr>
        <w:t>попытки использовать официальные данные для трудовых, налоговых, социальных, рекламных или правоохранительных решений;</w:t>
      </w:r>
    </w:p>
    <w:p>
      <w:pPr>
        <w:pStyle w:val="ListBullet"/>
        <w:widowControl/>
      </w:pPr>
      <w:r>
        <w:rPr>
          <w:i w:val="0"/>
        </w:rPr>
        <w:t>давление на аудиторов, экспертов, заявителей жалоб и информаторов.</w:t>
      </w:r>
    </w:p>
    <w:p>
      <w:pPr>
        <w:widowControl/>
      </w:pPr>
      <w:r>
        <w:rPr>
          <w:i w:val="0"/>
        </w:rPr>
        <w:t>Достижение заранее установленного порога индикаторов запускает усиленный аудит и обязательное публичное рассмотрение, но не позволяет автоматически объявить политическую позицию незаконной.</w:t>
      </w:r>
    </w:p>
    <w:p>
      <w:pPr>
        <w:pStyle w:val="Heading2"/>
        <w:keepNext/>
        <w:widowControl/>
      </w:pPr>
      <w:r>
        <w:t>15. Уровни реагирования</w:t>
      </w:r>
    </w:p>
    <w:p>
      <w:pPr>
        <w:widowControl/>
        <w:ind w:left="312" w:hanging="227"/>
      </w:pPr>
      <w:r>
        <w:t>1. Обычный режим: регулярный аудит, публикация метрик и исправление единичных дефектов.</w:t>
      </w:r>
    </w:p>
    <w:p>
      <w:pPr>
        <w:widowControl/>
        <w:ind w:left="312" w:hanging="227"/>
      </w:pPr>
      <w:r>
        <w:t>2. Предупреждение: обязательный план устранения, усиленная публикация данных и внешний наблюдатель.</w:t>
      </w:r>
    </w:p>
    <w:p>
      <w:pPr>
        <w:widowControl/>
        <w:ind w:left="312" w:hanging="227"/>
      </w:pPr>
      <w:r>
        <w:t>3. Усиленный аудит: независимая повторная проверка решений, кода, методики, назначений или финансирования.</w:t>
      </w:r>
    </w:p>
    <w:p>
      <w:pPr>
        <w:widowControl/>
        <w:ind w:left="312" w:hanging="227"/>
      </w:pPr>
      <w:r>
        <w:t>4. Временная процессуальная защита: приостановление конкретной функции, замена несовместимого субъекта, переход на резервный канал или повтор затронутой стадии.</w:t>
      </w:r>
    </w:p>
    <w:p>
      <w:pPr>
        <w:widowControl/>
        <w:ind w:left="312" w:hanging="227"/>
      </w:pPr>
      <w:r>
        <w:t>5. Восстановление: отмена незаконного решения, восстановление данных и прав, повтор процедуры, персональная ответственность и пересмотр архитектуры.</w:t>
      </w:r>
    </w:p>
    <w:p>
      <w:pPr>
        <w:widowControl/>
      </w:pPr>
      <w:r>
        <w:rPr>
          <w:i w:val="0"/>
        </w:rPr>
        <w:t>Мера реагирования не должна быть шире обнаруженного риска. Полная остановка цикла допустима лишь при невозможности отделить повреждённый компонент от достоверности или прав всего результата.</w:t>
      </w:r>
    </w:p>
    <w:p>
      <w:pPr>
        <w:pStyle w:val="Heading2"/>
        <w:keepNext/>
        <w:widowControl/>
      </w:pPr>
      <w:r>
        <w:t>16. Специальная проверка и надлежащая процедура</w:t>
      </w:r>
    </w:p>
    <w:p>
      <w:pPr>
        <w:widowControl/>
      </w:pPr>
      <w:r>
        <w:rPr>
          <w:i w:val="0"/>
        </w:rPr>
        <w:t>Обвинение в захвате, скрытом влиянии или конфликте интересов не заменяет доказательство. Затронутый субъект имеет право знать существо претензии, знакомиться с материалами в допустимом объёме, представить объяснения, заявить отвод, получить мотивированное решение и обжаловать его.</w:t>
      </w:r>
    </w:p>
    <w:p>
      <w:pPr>
        <w:widowControl/>
      </w:pPr>
      <w:r>
        <w:rPr>
          <w:i w:val="0"/>
        </w:rPr>
        <w:t>Временные меры до окончательного решения применяются только при конкретном риске необратимого вреда, имеют короткий срок и не используются для устранения политического конкурента из критического периода. Закрытая информация проверяется независимым допущенным субъектом и судом.</w:t>
      </w:r>
    </w:p>
    <w:p>
      <w:pPr>
        <w:pStyle w:val="Heading2"/>
        <w:keepNext/>
        <w:widowControl/>
      </w:pPr>
      <w:r>
        <w:t>17. Защита граждан, заявителей и информаторов</w:t>
      </w:r>
    </w:p>
    <w:p>
      <w:pPr>
        <w:widowControl/>
      </w:pPr>
      <w:r>
        <w:rPr>
          <w:i w:val="0"/>
        </w:rPr>
        <w:t>Автор инициативы, участник, заявитель жалобы, эксперт, аудитор, сотрудник оператора и информатор защищаются от преследования за добросовестное участие или сообщение о нарушении.</w:t>
      </w:r>
    </w:p>
    <w:p>
      <w:pPr>
        <w:widowControl/>
      </w:pPr>
      <w:r>
        <w:rPr>
          <w:i w:val="0"/>
        </w:rPr>
        <w:t>Запрещается использовать сведения об участии для решений о занятости, налогах, социальных правах, государственных услугах, лицензиях, контрактах, кредитовании, страховании, рекламе, оперативном учёте или иных неблагоприятных последствиях. Исключение возможно только для расследования конкретного преступления по судебному решению, при строгой необходимости и без создания общего политического профиля.</w:t>
      </w:r>
    </w:p>
    <w:p>
      <w:pPr>
        <w:widowControl/>
      </w:pPr>
      <w:r>
        <w:rPr>
          <w:i w:val="0"/>
        </w:rPr>
        <w:t>Сообщения о нарушениях принимаются через конфиденциальные и, где допустимо, анонимные каналы. Личность раскрывается только по закону и в минимальном объёме; ответные меры образуют самостоятельное нарушение.</w:t>
      </w:r>
    </w:p>
    <w:p>
      <w:pPr>
        <w:pStyle w:val="Heading2"/>
        <w:keepNext/>
        <w:widowControl/>
      </w:pPr>
      <w:r>
        <w:t>18. Остаточный риск и пределы гарантий</w:t>
      </w:r>
    </w:p>
    <w:p>
      <w:pPr>
        <w:widowControl/>
      </w:pPr>
      <w:r>
        <w:rPr>
          <w:i w:val="0"/>
        </w:rPr>
        <w:t>Доктрина не использует обещания «абсолютной анонимности», «полной нейтральности», «невозможности манипуляции» или «неуязвимой независимости». Для каждого свойства указываются модель угроз, доказательства, ограничения и остаточный риск.</w:t>
      </w:r>
    </w:p>
    <w:p>
      <w:pPr>
        <w:widowControl/>
      </w:pPr>
      <w:r>
        <w:rPr>
          <w:i w:val="0"/>
        </w:rPr>
        <w:t>Риск оценивается сравнительно: не только относительно идеальной системы, но и относительно действующих выборов, петиций, консультаций, платформ и государственных реестров. Новый модуль прекращается, если он доказанно увеличивает политическое профилирование, цензуру, захват повестки, неравенство участия или недоверие к базовым выборам сильнее, чем создаёт общественную пользу.</w:t>
      </w:r>
    </w:p>
    <w:p>
      <w:pPr>
        <w:pStyle w:val="Heading2"/>
        <w:keepNext/>
        <w:widowControl/>
      </w:pPr>
      <w:r>
        <w:t>19. Наиболее сильные возражения и встроенные ответы</w:t>
      </w:r>
    </w:p>
    <w:p>
      <w:pPr>
        <w:pStyle w:val="Heading3"/>
        <w:keepNext/>
        <w:widowControl/>
      </w:pPr>
      <w:r>
        <w:t>19.1. «Все независимые контуры можно захватить одновременно»</w:t>
      </w:r>
    </w:p>
    <w:p>
      <w:pPr>
        <w:widowControl/>
      </w:pPr>
      <w:r>
        <w:rPr>
          <w:i w:val="0"/>
        </w:rPr>
        <w:t>Встроенный ответ. Полностью исключить этот риск без устойчивого конституционного строя невозможно. Поэтому Доктрина минимизирует массив концентрируемых данных и полномочий, не создаёт единого сверхоргана и сохраняет безопасное прекращение. Остаточный риск прямо признаётся, а не прикрывается названием «независимый».</w:t>
      </w:r>
    </w:p>
    <w:p>
      <w:pPr>
        <w:pStyle w:val="Heading3"/>
        <w:keepNext/>
        <w:widowControl/>
      </w:pPr>
      <w:r>
        <w:t>19.2. «Прозрачность сама создаёт реестр оппонентов»</w:t>
      </w:r>
    </w:p>
    <w:p>
      <w:pPr>
        <w:widowControl/>
      </w:pPr>
      <w:r>
        <w:rPr>
          <w:i w:val="0"/>
        </w:rPr>
        <w:t>Встроенный ответ. Прозрачность направляется на решения, деньги, методики, профессиональную координацию и должностных лиц, а не на историю действий обычного гражданина. Рядовые сторонники и политические действия защищаются несвязываемостью и минимизацией.</w:t>
      </w:r>
    </w:p>
    <w:p>
      <w:pPr>
        <w:pStyle w:val="Heading3"/>
        <w:keepNext/>
        <w:widowControl/>
      </w:pPr>
      <w:r>
        <w:t>19.3. «Жёсткие гарантии сделают систему слишком дорогой»</w:t>
      </w:r>
    </w:p>
    <w:p>
      <w:pPr>
        <w:widowControl/>
      </w:pPr>
      <w:r>
        <w:rPr>
          <w:i w:val="0"/>
        </w:rPr>
        <w:t>Встроенный ответ. Модуль, безопасность которого невозможно обеспечить соразмерной ценой, не должен запускаться. Пилотирование, риск-ориентированная глубина, использование существующих институтов и автоматическое прекращение по истечении срока предотвращают превращение гарантий в бесконечный аппарат.</w:t>
      </w:r>
    </w:p>
    <w:p>
      <w:pPr>
        <w:pStyle w:val="Heading3"/>
        <w:keepNext/>
        <w:widowControl/>
      </w:pPr>
      <w:r>
        <w:t>19.4. «Борьба с захватом станет способом атаковать несогласных»</w:t>
      </w:r>
    </w:p>
    <w:p>
      <w:pPr>
        <w:widowControl/>
      </w:pPr>
      <w:r>
        <w:rPr>
          <w:i w:val="0"/>
        </w:rPr>
        <w:t>Встроенный ответ. Основания вмешательства привязаны к конкретным действиям, конфликтам, данным и процедурам, а не к идеологии или выводу. Действуют презумпция добросовестности, право быть услышанным, строгая соразмерность, короткие временные меры и независимое обжалование.</w:t>
      </w:r>
    </w:p>
    <w:p>
      <w:pPr>
        <w:pStyle w:val="Heading2"/>
        <w:keepNext/>
        <w:widowControl/>
      </w:pPr>
      <w:r>
        <w:t>20. Связь с другими главами и вывод</w:t>
      </w:r>
    </w:p>
    <w:p>
      <w:pPr>
        <w:widowControl/>
      </w:pPr>
      <w:r>
        <w:rPr>
          <w:i w:val="0"/>
        </w:rPr>
        <w:t>Глава XXXIV конкретизирует конфликты интересов, финансирование и лоббизм. Главы XXXV–XXXVII устанавливают информационные, кибербезопасностные и приватностные гарантии. Глава XXXI делает тест захвата и автоматическое прекращение обязательными условиями пилота и масштабирования.</w:t>
      </w:r>
    </w:p>
    <w:p>
      <w:pPr>
        <w:pStyle w:val="DoctrineQuote"/>
        <w:widowControl/>
      </w:pPr>
      <w:r>
        <w:rPr>
          <w:i w:val="0"/>
        </w:rPr>
        <w:t>Защищённой считается не система, в которой объявлен независимый орган, а система, в которой ни один субъект не может без видимого следа получить контроль над повесткой, правом, данными, технологией и оценкой одновременно.</w:t>
      </w:r>
    </w:p>
    <w:p>
      <w:pPr>
        <w:widowControl/>
      </w:pPr>
      <w:r>
        <w:br w:type="page"/>
      </w:r>
    </w:p>
    <w:p>
      <w:pPr>
        <w:pStyle w:val="Heading1"/>
        <w:keepNext/>
        <w:pageBreakBefore/>
        <w:spacing w:before="0" w:after="160"/>
        <w:widowControl/>
        <w:pBdr>
          <w:bottom w:val="single" w:sz="5" w:space="4" w:color="B4C6E7"/>
        </w:pBdr>
      </w:pPr>
      <w:r>
        <w:t>Глава X. Право общественной инициативы</w:t>
      </w:r>
    </w:p>
    <w:p>
      <w:pPr>
        <w:pStyle w:val="Heading2"/>
        <w:keepNext/>
        <w:widowControl/>
      </w:pPr>
      <w:r>
        <w:t>1. Предмет и цель главы</w:t>
      </w:r>
    </w:p>
    <w:p>
      <w:pPr>
        <w:widowControl/>
      </w:pPr>
      <w:r>
        <w:t>Настоящая глава определяет право лица поставить общественно значимую проблему, цель или предложение на официальный путь формирования общественного поручения. Цель главы — обеспечить самостоятельный гражданский вход без обязательного посредничества партии, государственного органа, профессиональной организации или цифровой платформы.</w:t>
      </w:r>
    </w:p>
    <w:p>
      <w:pPr>
        <w:widowControl/>
      </w:pPr>
      <w:r>
        <w:t>Право инициативы не означает автоматического принятия предложения. Оно означает юридически защищённое право на доступ к процедуре, сохранение исходного смысла, помощь в оформлении, мотивированное решение, равные условия набора поддержки и эффективное обжалование.</w:t>
      </w:r>
    </w:p>
    <w:p>
      <w:pPr>
        <w:pStyle w:val="DoctrineQuote"/>
        <w:keepLines/>
        <w:widowControl/>
      </w:pPr>
      <w:r>
        <w:t>Гражданин обязан сформулировать то, чего он добивается, но не обязан заранее знать, каким законом, бюджетным решением или административным способом государство способно этого достичь.</w:t>
      </w:r>
    </w:p>
    <w:p>
      <w:pPr>
        <w:pStyle w:val="Heading2"/>
        <w:keepNext/>
        <w:widowControl/>
      </w:pPr>
      <w:r>
        <w:t>2. Ключевые определения</w:t>
      </w:r>
    </w:p>
    <w:p>
      <w:pPr>
        <w:pStyle w:val="ListBullet"/>
        <w:keepLines/>
        <w:widowControl/>
      </w:pPr>
      <w:r>
        <w:t>общественная инициатива — официально зарегистрированное предложение о признании проблемы, стратегической цели, институционального изменения или направления публичной политики предметом дальнейшего гражданского рассмотрения;</w:t>
      </w:r>
    </w:p>
    <w:p>
      <w:pPr>
        <w:pStyle w:val="ListBullet"/>
        <w:keepLines/>
        <w:widowControl/>
      </w:pPr>
      <w:r>
        <w:t>исходный текст — неизменяемая формулировка, представленная инициатором при подаче;</w:t>
      </w:r>
    </w:p>
    <w:p>
      <w:pPr>
        <w:pStyle w:val="ListBullet"/>
        <w:keepLines/>
        <w:widowControl/>
      </w:pPr>
      <w:r>
        <w:t>карточка инициативы — публичная совокупность исходного текста, краткого объяснения, уровня компетенции, истории редакций, данных о существенном финансировании и процессуального статуса;</w:t>
      </w:r>
    </w:p>
    <w:p>
      <w:pPr>
        <w:pStyle w:val="ListBullet"/>
        <w:keepLines/>
        <w:widowControl/>
      </w:pPr>
      <w:r>
        <w:t>инициатор — физическое лицо или допустимая группа лиц, от имени которых подан исходный текст;</w:t>
      </w:r>
    </w:p>
    <w:p>
      <w:pPr>
        <w:pStyle w:val="ListBullet"/>
        <w:keepLines/>
        <w:widowControl/>
      </w:pPr>
      <w:r>
        <w:t>представитель смысловой позиции — лицо, уполномоченное взаимодействовать с редакционным контуром без права единолично отчуждать или менять смысл коллективной инициативы;</w:t>
      </w:r>
    </w:p>
    <w:p>
      <w:pPr>
        <w:pStyle w:val="ListBullet"/>
        <w:keepLines/>
        <w:widowControl/>
      </w:pPr>
      <w:r>
        <w:t>технический недостаток — устранимое отсутствие сведений, мешающее регистрации, но не относящееся к политическому содержанию;</w:t>
      </w:r>
    </w:p>
    <w:p>
      <w:pPr>
        <w:pStyle w:val="ListBullet"/>
        <w:keepLines/>
        <w:widowControl/>
      </w:pPr>
      <w:r>
        <w:t>институциональная инициатива — предложение, подготовленное или финансируемое органом власти, партией, корпорацией либо иной организованной структурой и открыто маркированное как таковое.</w:t>
      </w:r>
    </w:p>
    <w:p>
      <w:pPr>
        <w:widowControl/>
      </w:pPr>
      <w:r>
        <w:t>Инициатива не является общественным поручением, общественным мандатом, законом, бюджетным обязательством, доказательством общей воли или обещанием кандидата.</w:t>
      </w:r>
    </w:p>
    <w:p>
      <w:pPr>
        <w:pStyle w:val="Heading2"/>
        <w:keepNext/>
        <w:widowControl/>
      </w:pPr>
      <w:r>
        <w:t>3. Субъекты права инициативы</w:t>
      </w:r>
    </w:p>
    <w:p>
      <w:pPr>
        <w:widowControl/>
      </w:pPr>
      <w:r>
        <w:t>Право индивидуальной подачи принадлежит каждому лицу, которому национальное право предоставляет соответствующую форму политического участия. Национальная адаптация может различать право подать предложение, право поддержать его и право участвовать в финальном голосовании, но обязана прямо объяснять эти различия.</w:t>
      </w:r>
    </w:p>
    <w:p>
      <w:pPr>
        <w:widowControl/>
      </w:pPr>
      <w:r>
        <w:t>Коллективная подача допускается без создания обязательного юридического лица. Государственные органы, партии, коммерческие и общественные организации вправе предлагать вопросы только при открытой маркировке происхождения и не могут пользоваться защищёнными местами, предназначенными для инициатив, возникших непосредственно от граждан.</w:t>
      </w:r>
    </w:p>
    <w:p>
      <w:pPr>
        <w:widowControl/>
      </w:pPr>
      <w:r>
        <w:t>Несовершеннолетние, постоянно проживающие неграждане и иные группы могут получать право подать или обсуждать инициативу, если это предусмотрено национальной моделью. Их участие не должно ошибочно представляться как обладание тем же объёмом суверенного голоса, который закон связывает с избирательным корпусом.</w:t>
      </w:r>
    </w:p>
    <w:p>
      <w:pPr>
        <w:pStyle w:val="Heading2"/>
        <w:keepNext/>
        <w:widowControl/>
      </w:pPr>
      <w:r>
        <w:t>4. Допустимые предметы инициативы</w:t>
      </w:r>
    </w:p>
    <w:p>
      <w:pPr>
        <w:widowControl/>
      </w:pPr>
      <w:r>
        <w:t>Инициатива может содержать:</w:t>
      </w:r>
    </w:p>
    <w:p>
      <w:pPr>
        <w:pStyle w:val="ListBullet"/>
        <w:keepLines/>
        <w:widowControl/>
      </w:pPr>
      <w:r>
        <w:t>описание общественной проблемы;</w:t>
      </w:r>
    </w:p>
    <w:p>
      <w:pPr>
        <w:pStyle w:val="ListBullet"/>
        <w:keepLines/>
        <w:widowControl/>
      </w:pPr>
      <w:r>
        <w:t>стратегическую цель;</w:t>
      </w:r>
    </w:p>
    <w:p>
      <w:pPr>
        <w:pStyle w:val="ListBullet"/>
        <w:keepLines/>
        <w:widowControl/>
      </w:pPr>
      <w:r>
        <w:t>предложение о подготовке или изменении закона;</w:t>
      </w:r>
    </w:p>
    <w:p>
      <w:pPr>
        <w:pStyle w:val="ListBullet"/>
        <w:keepLines/>
        <w:widowControl/>
      </w:pPr>
      <w:r>
        <w:t>предложение о публичной программе, услуге или институциональном изменении;</w:t>
      </w:r>
    </w:p>
    <w:p>
      <w:pPr>
        <w:pStyle w:val="ListBullet"/>
        <w:keepLines/>
        <w:widowControl/>
      </w:pPr>
      <w:r>
        <w:t>требование провести исследование, аудит, консультацию или раскрыть данные;</w:t>
      </w:r>
    </w:p>
    <w:p>
      <w:pPr>
        <w:pStyle w:val="ListBullet"/>
        <w:keepLines/>
        <w:widowControl/>
      </w:pPr>
      <w:r>
        <w:t>предложение изменить распределение полномочий через установленную конституционную процедуру;</w:t>
      </w:r>
    </w:p>
    <w:p>
      <w:pPr>
        <w:pStyle w:val="ListBullet"/>
        <w:keepLines/>
        <w:widowControl/>
      </w:pPr>
      <w:r>
        <w:t>несколько альтернативных способов достижения одной цели, если они обозначены раздельно.</w:t>
      </w:r>
    </w:p>
    <w:p>
      <w:pPr>
        <w:widowControl/>
      </w:pPr>
      <w:r>
        <w:t>Инициатива не обязана содержать готовый механизм реализации. Организатор обязан помочь отделить цель от предположительного способа и не вправе отказать только потому, что предложенный способ юридически или экономически несовершенен.</w:t>
      </w:r>
    </w:p>
    <w:p>
      <w:pPr>
        <w:pStyle w:val="Heading2"/>
        <w:keepNext/>
        <w:widowControl/>
      </w:pPr>
      <w:r>
        <w:t>5. Минимальные требования к подаче</w:t>
      </w:r>
    </w:p>
    <w:p>
      <w:pPr>
        <w:widowControl/>
      </w:pPr>
      <w:r>
        <w:t>Для первичной регистрации достаточно:</w:t>
      </w:r>
    </w:p>
    <w:p>
      <w:pPr>
        <w:keepLines/>
        <w:widowControl/>
        <w:ind w:left="360" w:hanging="360"/>
      </w:pPr>
      <w:r>
        <w:t>1. ясного описания проблемы или цели;</w:t>
      </w:r>
    </w:p>
    <w:p>
      <w:pPr>
        <w:keepLines/>
        <w:widowControl/>
        <w:ind w:left="360" w:hanging="360"/>
      </w:pPr>
      <w:r>
        <w:t>2. указания затрагиваемого уровня публичной власти, если он известен инициатору;</w:t>
      </w:r>
    </w:p>
    <w:p>
      <w:pPr>
        <w:keepLines/>
        <w:widowControl/>
        <w:ind w:left="360" w:hanging="360"/>
      </w:pPr>
      <w:r>
        <w:t>3. контактного канала для защищённого процессуального взаимодействия;</w:t>
      </w:r>
    </w:p>
    <w:p>
      <w:pPr>
        <w:keepLines/>
        <w:widowControl/>
        <w:ind w:left="360" w:hanging="360"/>
      </w:pPr>
      <w:r>
        <w:t>4. подтверждения, что текст подан самим инициатором или с его согласия;</w:t>
      </w:r>
    </w:p>
    <w:p>
      <w:pPr>
        <w:keepLines/>
        <w:widowControl/>
        <w:ind w:left="360" w:hanging="360"/>
      </w:pPr>
      <w:r>
        <w:t>5. раскрытия профессионального заказчика, существенного финансирования или организованной координации в случаях, установленных законом.</w:t>
      </w:r>
    </w:p>
    <w:p>
      <w:pPr>
        <w:widowControl/>
      </w:pPr>
      <w:r>
        <w:t>Отсутствие юридической техники, расчёта стоимости, ссылок на нормы, академического стиля или профессионального перевода не является основанием для отказа. Организатор предоставляет шаблон, языковую и доступную помощь, не меняя политическую направленность.</w:t>
      </w:r>
    </w:p>
    <w:p>
      <w:pPr>
        <w:pStyle w:val="Heading2"/>
        <w:keepNext/>
        <w:widowControl/>
      </w:pPr>
      <w:r>
        <w:t>6. Регистрация и первичная проверка</w:t>
      </w:r>
    </w:p>
    <w:p>
      <w:pPr>
        <w:widowControl/>
      </w:pPr>
      <w:r>
        <w:t>Регистрация проводится в короткий заранее установленный срок. Проверяются только:</w:t>
      </w:r>
    </w:p>
    <w:p>
      <w:pPr>
        <w:pStyle w:val="ListBullet"/>
        <w:keepLines/>
        <w:widowControl/>
      </w:pPr>
      <w:r>
        <w:t>наличие минимальных сведений;</w:t>
      </w:r>
    </w:p>
    <w:p>
      <w:pPr>
        <w:pStyle w:val="ListBullet"/>
        <w:keepLines/>
        <w:widowControl/>
      </w:pPr>
      <w:r>
        <w:t>отсутствие очевидного технического дубликата;</w:t>
      </w:r>
    </w:p>
    <w:p>
      <w:pPr>
        <w:pStyle w:val="ListBullet"/>
        <w:keepLines/>
        <w:widowControl/>
      </w:pPr>
      <w:r>
        <w:t>отсутствие машинного спама, вредоносного кода или фиктивной массовой подачи;</w:t>
      </w:r>
    </w:p>
    <w:p>
      <w:pPr>
        <w:pStyle w:val="ListBullet"/>
        <w:keepLines/>
        <w:widowControl/>
      </w:pPr>
      <w:r>
        <w:t>соответствие выбранного канала требованиям подтверждения права;</w:t>
      </w:r>
    </w:p>
    <w:p>
      <w:pPr>
        <w:pStyle w:val="ListBullet"/>
        <w:keepLines/>
        <w:widowControl/>
      </w:pPr>
      <w:r>
        <w:t>наличие сведений о происхождении кампании, когда обязанность раскрытия уже наступила.</w:t>
      </w:r>
    </w:p>
    <w:p>
      <w:pPr>
        <w:widowControl/>
      </w:pPr>
      <w:r>
        <w:t>Первичная регистрация не включает оценку разумности, популярности, стоимости, политической приемлемости, вероятности успеха или соответствия программе действующей власти.</w:t>
      </w:r>
    </w:p>
    <w:p>
      <w:pPr>
        <w:widowControl/>
      </w:pPr>
      <w:r>
        <w:t>При устранимом недостатке инициатор получает понятное уведомление, помощь и срок для исправления. Молчание организатора после истечения срока является процессуальным нарушением и подлежит обжалованию.</w:t>
      </w:r>
    </w:p>
    <w:p>
      <w:pPr>
        <w:pStyle w:val="Heading2"/>
        <w:keepNext/>
        <w:widowControl/>
      </w:pPr>
      <w:r>
        <w:t>7. Основания отказа</w:t>
      </w:r>
    </w:p>
    <w:p>
      <w:pPr>
        <w:widowControl/>
      </w:pPr>
      <w:r>
        <w:t>На стадии регистрации допустимы только следующие основания:</w:t>
      </w:r>
    </w:p>
    <w:p>
      <w:pPr>
        <w:pStyle w:val="ListBullet"/>
        <w:keepLines/>
        <w:widowControl/>
      </w:pPr>
      <w:r>
        <w:t>предложение не содержит распознаваемой общественной проблемы или цели даже после предоставленной помощи;</w:t>
      </w:r>
    </w:p>
    <w:p>
      <w:pPr>
        <w:pStyle w:val="ListBullet"/>
        <w:keepLines/>
        <w:widowControl/>
      </w:pPr>
      <w:r>
        <w:t>подача технически не принадлежит заявленному инициатору;</w:t>
      </w:r>
    </w:p>
    <w:p>
      <w:pPr>
        <w:pStyle w:val="ListBullet"/>
        <w:keepLines/>
        <w:widowControl/>
      </w:pPr>
      <w:r>
        <w:t>текст полностью тождествен уже зарегистрированной инициативе и инициатору предложено присоединение с сохранением авторства;</w:t>
      </w:r>
    </w:p>
    <w:p>
      <w:pPr>
        <w:pStyle w:val="ListBullet"/>
        <w:keepLines/>
        <w:widowControl/>
      </w:pPr>
      <w:r>
        <w:t>материал содержит только персональную травлю, угрозу, раскрытие защищённых персональных данных, вредоносный код или коммерческий спам;</w:t>
      </w:r>
    </w:p>
    <w:p>
      <w:pPr>
        <w:pStyle w:val="ListBullet"/>
        <w:keepLines/>
        <w:widowControl/>
      </w:pPr>
      <w:r>
        <w:t>закон прямо исключает данную категорию подачи из-за индивидуального решения о виновности, персонального наказания или иного предмета, который не может рассматриваться как общая публичная политика.</w:t>
      </w:r>
    </w:p>
    <w:p>
      <w:pPr>
        <w:widowControl/>
      </w:pPr>
      <w:r>
        <w:t>Отказ не может основываться на политическом несогласии, критике государства, высокой цене, конфликтности темы, отсутствии поддержки органов власти, предполагаемой радикальности либо возможности будущего признания инициативы недопустимой на отдельной правовой стадии.</w:t>
      </w:r>
    </w:p>
    <w:p>
      <w:pPr>
        <w:pStyle w:val="Heading2"/>
        <w:keepNext/>
        <w:widowControl/>
      </w:pPr>
      <w:r>
        <w:t>8. Помощь без присвоения инициативы</w:t>
      </w:r>
    </w:p>
    <w:p>
      <w:pPr>
        <w:widowControl/>
      </w:pPr>
      <w:r>
        <w:t>Организатор обязан предложить:</w:t>
      </w:r>
    </w:p>
    <w:p>
      <w:pPr>
        <w:pStyle w:val="ListBullet"/>
        <w:keepLines/>
        <w:widowControl/>
      </w:pPr>
      <w:r>
        <w:t>помощь в кратком изложении;</w:t>
      </w:r>
    </w:p>
    <w:p>
      <w:pPr>
        <w:pStyle w:val="ListBullet"/>
        <w:keepLines/>
        <w:widowControl/>
      </w:pPr>
      <w:r>
        <w:t>перевод и адаптацию доступности;</w:t>
      </w:r>
    </w:p>
    <w:p>
      <w:pPr>
        <w:pStyle w:val="ListBullet"/>
        <w:keepLines/>
        <w:widowControl/>
      </w:pPr>
      <w:r>
        <w:t>указание вероятного уровня компетенции;</w:t>
      </w:r>
    </w:p>
    <w:p>
      <w:pPr>
        <w:pStyle w:val="ListBullet"/>
        <w:keepLines/>
        <w:widowControl/>
      </w:pPr>
      <w:r>
        <w:t>отделение нескольких самостоятельных предметов;</w:t>
      </w:r>
    </w:p>
    <w:p>
      <w:pPr>
        <w:pStyle w:val="ListBullet"/>
        <w:keepLines/>
        <w:widowControl/>
      </w:pPr>
      <w:r>
        <w:t>предупреждение об очевидных правовых и фактических проблемах;</w:t>
      </w:r>
    </w:p>
    <w:p>
      <w:pPr>
        <w:pStyle w:val="ListBullet"/>
        <w:keepLines/>
        <w:widowControl/>
      </w:pPr>
      <w:r>
        <w:t>возможность сохранить исходный текст без принятия предложенной редакции.</w:t>
      </w:r>
    </w:p>
    <w:p>
      <w:pPr>
        <w:widowControl/>
      </w:pPr>
      <w:r>
        <w:t>Сотрудник, алгоритм или приглашённый эксперт не может становиться соавтором по умолчанию, менять цель ради «проходимости» либо создавать более удобную для государства альтернативу под именем гражданина.</w:t>
      </w:r>
    </w:p>
    <w:p>
      <w:pPr>
        <w:pStyle w:val="Heading2"/>
        <w:keepNext/>
        <w:widowControl/>
      </w:pPr>
      <w:r>
        <w:t>9. Анонимность, безопасность и происхождение кампании</w:t>
      </w:r>
    </w:p>
    <w:p>
      <w:pPr>
        <w:widowControl/>
      </w:pPr>
      <w:r>
        <w:t>Публичная анонимность инициатора допускается при риске преследования, уязвимости группы или ином законном основании. Проверка права и финансирования осуществляется в отдельном защищённом контуре, не связанном с реестром политических действий.</w:t>
      </w:r>
    </w:p>
    <w:p>
      <w:pPr>
        <w:widowControl/>
      </w:pPr>
      <w:r>
        <w:t>Раскрытие происхождения применяется к существенным организованным ресурсам, профессиональной рекламе, оплате подготовки и координации, но не требует публикации списка обычных сторонников, малых доноров или участников обсуждения. Государственный орган не вправе использовать сведения о подаче для налогового, трудового, социального, правоохранительного или коммерческого профилирования.</w:t>
      </w:r>
    </w:p>
    <w:p>
      <w:pPr>
        <w:pStyle w:val="Heading2"/>
        <w:keepNext/>
        <w:widowControl/>
      </w:pPr>
      <w:r>
        <w:t>10. Контроль, обжалование и ответственность</w:t>
      </w:r>
    </w:p>
    <w:p>
      <w:pPr>
        <w:widowControl/>
      </w:pPr>
      <w:r>
        <w:t>Инициатор вправе обжаловать отказ, задержку, присвоение статуса институциональной инициативы, незаконное раскрытие данных и искажение текста. Первичная внесудебная проверка проводится субъектом, не принимавшим исходного решения; судебная защита должна быть доступна до утраты актуальности инициативы.</w:t>
      </w:r>
    </w:p>
    <w:p>
      <w:pPr>
        <w:widowControl/>
      </w:pPr>
      <w:r>
        <w:t>Ответственность наступает за умышленную фальсификацию авторства, сокрытие существенного заказчика, незаконное использование персональных данных, систематическое создание фиктивных инициатив и заведомое искажение текста должностным лицом. Добросовестная ошибка, резкая политическая оценка или непрофессиональная формулировка не образуют нарушения.</w:t>
      </w:r>
    </w:p>
    <w:p>
      <w:pPr>
        <w:pStyle w:val="Heading2"/>
        <w:keepNext/>
        <w:widowControl/>
      </w:pPr>
      <w:r>
        <w:t>11. Специальные и чрезвычайные случаи</w:t>
      </w:r>
    </w:p>
    <w:p>
      <w:pPr>
        <w:widowControl/>
      </w:pPr>
      <w:r>
        <w:t>При временном прекращении цифрового канала регистрация продолжается через очные, бумажные и мобильные точки. Чрезвычайный режим не позволяет приостанавливать право инициативы неопределённо долго; любые ограничения имеют срок, публичное основание, независимый контроль и функциональную альтернативу.</w:t>
      </w:r>
    </w:p>
    <w:p>
      <w:pPr>
        <w:widowControl/>
      </w:pPr>
      <w:r>
        <w:t>При массовой подаче близких текстов организатор может создать временный кластер, но не вправе удалять исходные записи, суммировать поддержку до установления смысловой тождественности или принуждать авторов к единому тексту.</w:t>
      </w:r>
    </w:p>
    <w:p>
      <w:pPr>
        <w:pStyle w:val="Heading2"/>
        <w:keepNext/>
        <w:widowControl/>
      </w:pPr>
      <w:r>
        <w:t>12. Встроенный ответ на сильнейшие возражения</w:t>
      </w:r>
    </w:p>
    <w:p>
      <w:pPr>
        <w:widowControl/>
      </w:pPr>
      <w:r>
        <w:t>Широкий вход не означает хаос, поскольку право регистрации отделено от права пройти дальнейшие стадии. Защита от спама достигается техническими правилами, а не политической цензурой. Прозрачность организованных кампаний не превращается в реестр взглядов, поскольку раскрываются крупные ресурсы и координаторы, а не рядовые граждане.</w:t>
      </w:r>
    </w:p>
    <w:p>
      <w:pPr>
        <w:pStyle w:val="Heading2"/>
        <w:keepNext/>
        <w:widowControl/>
      </w:pPr>
      <w:r>
        <w:t>13. Связь с другими главами и вывод</w:t>
      </w:r>
    </w:p>
    <w:p>
      <w:pPr>
        <w:widowControl/>
      </w:pPr>
      <w:r>
        <w:t>Глава применяется вместе с паспортом компетенции главы VI, правилами защиты от захвата главы IX, доступностью главы XI, смысловой целостностью главы XIII и цифровой несвязываемостью глав XXXVI-XXXVII.</w:t>
      </w:r>
    </w:p>
    <w:p>
      <w:pPr>
        <w:pStyle w:val="DoctrineQuote"/>
        <w:keepLines/>
        <w:widowControl/>
      </w:pPr>
      <w:r>
        <w:t>Право инициативы считается реализованным не тогда, когда гражданину разрешено нажать кнопку, а тогда, когда его предложение зарегистрировано, смысл защищён, статус прослеживаем, а отказ может быть реально оспорен.</w:t>
      </w:r>
    </w:p>
    <w:p>
      <w:pPr>
        <w:pStyle w:val="Heading1"/>
        <w:keepNext/>
        <w:pageBreakBefore/>
        <w:spacing w:before="0" w:after="160"/>
        <w:widowControl/>
        <w:pBdr>
          <w:bottom w:val="single" w:sz="5" w:space="4" w:color="B4C6E7"/>
        </w:pBdr>
      </w:pPr>
      <w:r>
        <w:t>Глава XI. Каналы общественного участия и инфраструктура доступности</w:t>
      </w:r>
    </w:p>
    <w:p>
      <w:pPr>
        <w:pStyle w:val="Heading2"/>
        <w:keepNext/>
        <w:widowControl/>
      </w:pPr>
      <w:r>
        <w:t>1. Предмет и цель главы</w:t>
      </w:r>
    </w:p>
    <w:p>
      <w:pPr>
        <w:widowControl/>
      </w:pPr>
      <w:r>
        <w:t>Настоящая глава устанавливает функционально равный доступ к подаче, поддержке, обсуждению, голосованию, получению информации и обжалованию. Доступность является условием легитимности, а не дополнительным сервисом.</w:t>
      </w:r>
    </w:p>
    <w:p>
      <w:pPr>
        <w:pStyle w:val="DoctrineQuote"/>
        <w:keepLines/>
        <w:widowControl/>
      </w:pPr>
      <w:r>
        <w:t>Цифровая эффективность не оправдывает политическое исключение. Ни один гражданин не обязан передавать больше данных, владеть специальным устройством или пользоваться частной платформой, чтобы реализовать равное право участия.</w:t>
      </w:r>
    </w:p>
    <w:p>
      <w:pPr>
        <w:pStyle w:val="Heading2"/>
        <w:keepNext/>
        <w:widowControl/>
      </w:pPr>
      <w:r>
        <w:t>2. Принцип эквивалентных каналов</w:t>
      </w:r>
    </w:p>
    <w:p>
      <w:pPr>
        <w:widowControl/>
      </w:pPr>
      <w:r>
        <w:t>Национальная система обязана поддерживать цифровой, очный и бумажный либо иной недигитальный путь. Эквивалентность означает:</w:t>
      </w:r>
    </w:p>
    <w:p>
      <w:pPr>
        <w:pStyle w:val="ListBullet"/>
        <w:keepLines/>
        <w:widowControl/>
      </w:pPr>
      <w:r>
        <w:t>одинаковую юридическую силу действия;</w:t>
      </w:r>
    </w:p>
    <w:p>
      <w:pPr>
        <w:pStyle w:val="ListBullet"/>
        <w:keepLines/>
        <w:widowControl/>
      </w:pPr>
      <w:r>
        <w:t>сопоставимые сроки и возможность исправления;</w:t>
      </w:r>
    </w:p>
    <w:p>
      <w:pPr>
        <w:pStyle w:val="ListBullet"/>
        <w:keepLines/>
        <w:widowControl/>
      </w:pPr>
      <w:r>
        <w:t>одинаковый уровень тайны и защиты от давления;</w:t>
      </w:r>
    </w:p>
    <w:p>
      <w:pPr>
        <w:pStyle w:val="ListBullet"/>
        <w:keepLines/>
        <w:widowControl/>
      </w:pPr>
      <w:r>
        <w:t>отсутствие дополнительных содержательных барьеров;</w:t>
      </w:r>
    </w:p>
    <w:p>
      <w:pPr>
        <w:pStyle w:val="ListBullet"/>
        <w:keepLines/>
        <w:widowControl/>
      </w:pPr>
      <w:r>
        <w:t>единый публичный статус результата;</w:t>
      </w:r>
    </w:p>
    <w:p>
      <w:pPr>
        <w:pStyle w:val="ListBullet"/>
        <w:keepLines/>
        <w:widowControl/>
      </w:pPr>
      <w:r>
        <w:t>возможность независимого аудита каждого канала.</w:t>
      </w:r>
    </w:p>
    <w:p>
      <w:pPr>
        <w:widowControl/>
      </w:pPr>
      <w:r>
        <w:t>Различия интерфейса допустимы, если они компенсируют фактические ограничения и не меняют вес участия.</w:t>
      </w:r>
    </w:p>
    <w:p>
      <w:pPr>
        <w:pStyle w:val="Heading2"/>
        <w:keepNext/>
        <w:widowControl/>
      </w:pPr>
      <w:r>
        <w:t>3. Цифровой канал</w:t>
      </w:r>
    </w:p>
    <w:p>
      <w:pPr>
        <w:widowControl/>
      </w:pPr>
      <w:r>
        <w:t>Цифровая инфраструктура обеспечивает регистрацию, информацию, поддержку, обсуждение и иные действия только после проверки доступности и безопасности. Она строится на открытых стандартах, переносимости данных, независимости от одного поставщика и разделении идентификации, права и политического действия.</w:t>
      </w:r>
    </w:p>
    <w:p>
      <w:pPr>
        <w:widowControl/>
      </w:pPr>
      <w:r>
        <w:t>Использование государственного сервиса идентификации допускается только для выдачи одноразового подтверждения права. Сам сервис не получает содержание инициативы, факт поддержки или историю участия. Аналитические функции, не необходимые для конкретного действия, отключаются по умолчанию.</w:t>
      </w:r>
    </w:p>
    <w:p>
      <w:pPr>
        <w:pStyle w:val="Heading2"/>
        <w:keepNext/>
        <w:widowControl/>
      </w:pPr>
      <w:r>
        <w:t>4. Очный и бумажный канал</w:t>
      </w:r>
    </w:p>
    <w:p>
      <w:pPr>
        <w:widowControl/>
      </w:pPr>
      <w:r>
        <w:t>Очные точки располагаются с учётом территории, транспорта, режима работы и безопасности. Они могут действовать в общедоступных учреждениях, однако местная администрация не получает сведений о политическом содержании действий посетителя.</w:t>
      </w:r>
    </w:p>
    <w:p>
      <w:pPr>
        <w:widowControl/>
      </w:pPr>
      <w:r>
        <w:t>Бумажная подача и поддержка оцифровываются под двойным контролем, с выдачей проверяемого подтверждения без раскрытия позиции третьему лицу. Ошибка оператора исправляется по простой процедуре и не перекладывается на гражданина.</w:t>
      </w:r>
    </w:p>
    <w:p>
      <w:pPr>
        <w:widowControl/>
      </w:pPr>
      <w:r>
        <w:t>Мобильные группы используются для удалённых территорий, учреждений длительного пребывания и лиц с ограниченной мобильностью. Состав группы, маршрут и журналы доступа не должны позволять восстановить политическую позицию конкретного лица.</w:t>
      </w:r>
    </w:p>
    <w:p>
      <w:pPr>
        <w:pStyle w:val="Heading2"/>
        <w:keepNext/>
        <w:widowControl/>
      </w:pPr>
      <w:r>
        <w:t>5. Доступность для лиц с инвалидностью</w:t>
      </w:r>
    </w:p>
    <w:p>
      <w:pPr>
        <w:widowControl/>
      </w:pPr>
      <w:r>
        <w:t>Все материалы и действия проектируются по принципу доступности с самого начала. Обязательны:</w:t>
      </w:r>
    </w:p>
    <w:p>
      <w:pPr>
        <w:pStyle w:val="ListBullet"/>
        <w:keepLines/>
        <w:widowControl/>
      </w:pPr>
      <w:r>
        <w:t>совместимость с вспомогательными технологиями;</w:t>
      </w:r>
    </w:p>
    <w:p>
      <w:pPr>
        <w:pStyle w:val="ListBullet"/>
        <w:keepLines/>
        <w:widowControl/>
      </w:pPr>
      <w:r>
        <w:t>простой язык наряду с полной юридической версией;</w:t>
      </w:r>
    </w:p>
    <w:p>
      <w:pPr>
        <w:pStyle w:val="ListBullet"/>
        <w:keepLines/>
        <w:widowControl/>
      </w:pPr>
      <w:r>
        <w:t>жестовый язык, субтитры и аудиоформаты там, где это необходимо;</w:t>
      </w:r>
    </w:p>
    <w:p>
      <w:pPr>
        <w:pStyle w:val="ListBullet"/>
        <w:keepLines/>
        <w:widowControl/>
      </w:pPr>
      <w:r>
        <w:t>физическая доступность точек;</w:t>
      </w:r>
    </w:p>
    <w:p>
      <w:pPr>
        <w:pStyle w:val="ListBullet"/>
        <w:keepLines/>
        <w:widowControl/>
      </w:pPr>
      <w:r>
        <w:t>достаточное время и возможность перерыва;</w:t>
      </w:r>
    </w:p>
    <w:p>
      <w:pPr>
        <w:pStyle w:val="ListBullet"/>
        <w:keepLines/>
        <w:widowControl/>
      </w:pPr>
      <w:r>
        <w:t>помощь по выбору гражданина;</w:t>
      </w:r>
    </w:p>
    <w:p>
      <w:pPr>
        <w:pStyle w:val="ListBullet"/>
        <w:keepLines/>
        <w:widowControl/>
      </w:pPr>
      <w:r>
        <w:t>независимое тестирование пользователями с различными видами инвалидности.</w:t>
      </w:r>
    </w:p>
    <w:p>
      <w:pPr>
        <w:widowControl/>
      </w:pPr>
      <w:r>
        <w:t>Помощник не вправе подменять позицию гражданина. Система должна позволять приватное подтверждение действия и жалобу на давление или вмешательство.</w:t>
      </w:r>
    </w:p>
    <w:p>
      <w:pPr>
        <w:pStyle w:val="Heading2"/>
        <w:keepNext/>
        <w:widowControl/>
      </w:pPr>
      <w:r>
        <w:t>6. Языковая и культурная доступность</w:t>
      </w:r>
    </w:p>
    <w:p>
      <w:pPr>
        <w:widowControl/>
      </w:pPr>
      <w:r>
        <w:t>Национальная адаптация определяет языки, на которых обеспечивается официальный доступ, исходя из правового статуса, численности, территориальной концентрации и фактических барьеров. Перевод сопровождается публичной памятью версий; при расхождении смысл не устанавливается скрытым редакционным решением.</w:t>
      </w:r>
    </w:p>
    <w:p>
      <w:pPr>
        <w:widowControl/>
      </w:pPr>
      <w:r>
        <w:t>Неформальный, эмоциональный, диалектный или культурно иной способ выражения не является основанием для меньшего правового достоинства инициативы. Профессиональная редакция должна сохранять исходную речь как архивный объект.</w:t>
      </w:r>
    </w:p>
    <w:p>
      <w:pPr>
        <w:pStyle w:val="Heading3"/>
        <w:keepNext/>
        <w:widowControl/>
      </w:pPr>
      <w:r>
        <w:t>6.1. Юридическая эквивалентность языковых и доступных версий</w:t>
      </w:r>
    </w:p>
    <w:p>
      <w:pPr>
        <w:widowControl/>
      </w:pPr>
      <w:r>
        <w:t>Для каждого вопроса определяется юридически исходный текст. Переводы и версии для доступности сертифицируются на функциональную эквивалентность, проходят обратный перевод, независимую лингвистическую проверку и пользовательское тестирование понимания правового эффекта.</w:t>
      </w:r>
    </w:p>
    <w:p>
      <w:pPr>
        <w:widowControl/>
      </w:pPr>
      <w:r>
        <w:t>Особые мнения лингвистов публикуются. Существенное расхождение, способное изменить выбор, является основанием исправления материалов, продления срока либо повторения затронутого голосования.</w:t>
      </w:r>
    </w:p>
    <w:p>
      <w:pPr>
        <w:pStyle w:val="Heading2"/>
        <w:keepNext/>
        <w:widowControl/>
      </w:pPr>
      <w:r>
        <w:t>7. Граждане за рубежом и территории с низкой связностью</w:t>
      </w:r>
    </w:p>
    <w:p>
      <w:pPr>
        <w:widowControl/>
      </w:pPr>
      <w:r>
        <w:t>Для граждан за рубежом используются консульские, почтовые или иные безопасные каналы, предусмотренные национальным правом. Низкая связность не может автоматически означать удалённое интернет-голосование; при недостаточной безопасности приоритет имеют очные и бумажные способы.</w:t>
      </w:r>
    </w:p>
    <w:p>
      <w:pPr>
        <w:widowControl/>
      </w:pPr>
      <w:r>
        <w:t>Календарь учитывает доставку и часовые пояса. Позднее поступление, вызванное официальным каналом, не лишает гражданина права, если действие совершено в срок.</w:t>
      </w:r>
    </w:p>
    <w:p>
      <w:pPr>
        <w:pStyle w:val="Heading2"/>
        <w:keepNext/>
        <w:widowControl/>
      </w:pPr>
      <w:r>
        <w:t>8. Помощь и защита от посреднического контроля</w:t>
      </w:r>
    </w:p>
    <w:p>
      <w:pPr>
        <w:widowControl/>
      </w:pPr>
      <w:r>
        <w:t>Оператор помощи обязан действовать нейтрально, раскрывать пределы своей роли и не хранить содержание политического действия дольше технически необходимого. Для чувствительных действий применяются разделение функций, наблюдение и выбор гражданином альтернативного сотрудника.</w:t>
      </w:r>
    </w:p>
    <w:p>
      <w:pPr>
        <w:widowControl/>
      </w:pPr>
      <w:r>
        <w:t>Запрещаются:</w:t>
      </w:r>
    </w:p>
    <w:p>
      <w:pPr>
        <w:pStyle w:val="ListBullet"/>
        <w:keepLines/>
        <w:widowControl/>
      </w:pPr>
      <w:r>
        <w:t>регистрация позиции за гражданина без его отдельного подтверждения;</w:t>
      </w:r>
    </w:p>
    <w:p>
      <w:pPr>
        <w:pStyle w:val="ListBullet"/>
        <w:keepLines/>
        <w:widowControl/>
      </w:pPr>
      <w:r>
        <w:t>присутствие работодателя, должностного лица или зависимого родственника при тайном действии вопреки воле участника;</w:t>
      </w:r>
    </w:p>
    <w:p>
      <w:pPr>
        <w:pStyle w:val="ListBullet"/>
        <w:keepLines/>
        <w:widowControl/>
      </w:pPr>
      <w:r>
        <w:t>сбор списков посетителей по политическому признаку;</w:t>
      </w:r>
    </w:p>
    <w:p>
      <w:pPr>
        <w:pStyle w:val="ListBullet"/>
        <w:keepLines/>
        <w:widowControl/>
      </w:pPr>
      <w:r>
        <w:t>предоставление одной кампании привилегированного доступа к точкам;</w:t>
      </w:r>
    </w:p>
    <w:p>
      <w:pPr>
        <w:pStyle w:val="ListBullet"/>
        <w:keepLines/>
        <w:widowControl/>
      </w:pPr>
      <w:r>
        <w:t>использование помощи для агитации.</w:t>
      </w:r>
    </w:p>
    <w:p>
      <w:pPr>
        <w:pStyle w:val="Heading2"/>
        <w:keepNext/>
        <w:widowControl/>
      </w:pPr>
      <w:r>
        <w:t>9. Измерение фактической доступности</w:t>
      </w:r>
    </w:p>
    <w:p>
      <w:pPr>
        <w:widowControl/>
      </w:pPr>
      <w:r>
        <w:t>Доступность оценивается не количеством каналов, а разницей фактического участия, отказов, времени прохождения и ошибок между территориями и группами. Публикуются агрегированные показатели, не позволяющие повторную идентификацию.</w:t>
      </w:r>
    </w:p>
    <w:p>
      <w:pPr>
        <w:widowControl/>
      </w:pPr>
      <w:r>
        <w:t>Существенный устойчивый разрыв требует плана исправления. Он не обнуляет голоса участвовавших граждан, но ограничивает право называть результат репрезентативным и может блокировать переход пилота к следующей стадии.</w:t>
      </w:r>
    </w:p>
    <w:p>
      <w:pPr>
        <w:widowControl/>
      </w:pPr>
      <w:r>
        <w:t>Оценка равенства ведётся в двух контурах: публичные безопасные агрегаты и закрытый независимый аудит малых групп с запретом экспорта строковых данных. Защита приватности не используется для сокрытия устойчивого исключения.</w:t>
      </w:r>
    </w:p>
    <w:p>
      <w:pPr>
        <w:pStyle w:val="Heading2"/>
        <w:keepNext/>
        <w:widowControl/>
      </w:pPr>
      <w:r>
        <w:t>10. Контроль и обжалование</w:t>
      </w:r>
    </w:p>
    <w:p>
      <w:pPr>
        <w:widowControl/>
      </w:pPr>
      <w:r>
        <w:t>Независимый аудит доступности проводится до запуска и после каждой ключевой стадии. Жалоба на недоступность, отказ в приспособлении, давление посредника или различие юридической силы каналов рассматривается срочно и бесплатно.</w:t>
      </w:r>
    </w:p>
    <w:p>
      <w:pPr>
        <w:widowControl/>
      </w:pPr>
      <w:r>
        <w:t>Средство защиты должно восстанавливать право: продлевать индивидуальный срок, предоставлять альтернативный канал, исправлять запись, повторять действие либо, при системном нарушении, приостанавливать соответствующую стадию на затронутой территории.</w:t>
      </w:r>
    </w:p>
    <w:p>
      <w:pPr>
        <w:pStyle w:val="Heading2"/>
        <w:keepNext/>
        <w:widowControl/>
      </w:pPr>
      <w:r>
        <w:t>11. Чрезвычайные обстоятельства</w:t>
      </w:r>
    </w:p>
    <w:p>
      <w:pPr>
        <w:widowControl/>
      </w:pPr>
      <w:r>
        <w:t>Эпидемия, стихийное бедствие, конфликт или киберинцидент могут временно изменить соотношение каналов, но не служат основанием для перехода к единственному менее доступному способу. Решение содержит оценку группового воздействия, срок, резервный путь и процедуру пересмотра.</w:t>
      </w:r>
    </w:p>
    <w:p>
      <w:pPr>
        <w:widowControl/>
      </w:pPr>
      <w:r>
        <w:t>Длительное исключение территории или группы требует отдельного публичного решения компетентного органа и не может компенсироваться статистическим весом других участников.</w:t>
      </w:r>
    </w:p>
    <w:p>
      <w:pPr>
        <w:pStyle w:val="Heading2"/>
        <w:keepNext/>
        <w:widowControl/>
      </w:pPr>
      <w:r>
        <w:t>12. Встроенный ответ на сильнейшие возражения</w:t>
      </w:r>
    </w:p>
    <w:p>
      <w:pPr>
        <w:widowControl/>
      </w:pPr>
      <w:r>
        <w:t>Полная одинаковость инфраструктуры недостижима, но Доктрина требует функционального равенства и измеримого сокращения барьеров. Расходы на доступность учитываются в полной стоимости системы заранее; их нельзя сокращать после запуска так, чтобы процедура сохранялась формально, а часть граждан фактически исчезала.</w:t>
      </w:r>
    </w:p>
    <w:p>
      <w:pPr>
        <w:pStyle w:val="Heading2"/>
        <w:keepNext/>
        <w:widowControl/>
      </w:pPr>
      <w:r>
        <w:t>13. Связь с другими главами и вывод</w:t>
      </w:r>
    </w:p>
    <w:p>
      <w:pPr>
        <w:widowControl/>
      </w:pPr>
      <w:r>
        <w:t>Глава связана с правом инициативы, правилами поддержки, кибербезопасностью, тайной политического участия, финансированием и пилотированием.</w:t>
      </w:r>
    </w:p>
    <w:p>
      <w:pPr>
        <w:pStyle w:val="DoctrineQuote"/>
        <w:keepLines/>
        <w:widowControl/>
      </w:pPr>
      <w:r>
        <w:t>Результат не может называться общественным только потому, что канал был открыт. Необходимо доказать, что разные граждане могли воспользоваться им без несоразмерных барьеров и без раскрытия своей политической истории.</w:t>
      </w:r>
    </w:p>
    <w:p>
      <w:pPr>
        <w:pStyle w:val="Heading1"/>
        <w:keepNext/>
        <w:pageBreakBefore/>
        <w:spacing w:before="0" w:after="160"/>
        <w:widowControl/>
        <w:pBdr>
          <w:bottom w:val="single" w:sz="5" w:space="4" w:color="B4C6E7"/>
        </w:pBdr>
      </w:pPr>
      <w:r>
        <w:t>Глава XII. Поддержка инициатив и обеспечение представительности</w:t>
      </w:r>
    </w:p>
    <w:p>
      <w:pPr>
        <w:pStyle w:val="Heading2"/>
        <w:keepNext/>
        <w:widowControl/>
      </w:pPr>
      <w:r>
        <w:t>1. Предмет и цель главы</w:t>
      </w:r>
    </w:p>
    <w:p>
      <w:pPr>
        <w:widowControl/>
      </w:pPr>
      <w:r>
        <w:t>Настоящая глава регулирует сбор и проверку поддержки, переход инициативы к углублённой обработке и описание представительности. Цель — отличить наличие общественной значимости от утверждения о единой воле общества и не допустить, чтобы пороги стали скрытым инструментом сохранения статус-кво.</w:t>
      </w:r>
    </w:p>
    <w:p>
      <w:pPr>
        <w:pStyle w:val="DoctrineQuote"/>
        <w:keepLines/>
        <w:widowControl/>
      </w:pPr>
      <w:r>
        <w:t>Поддержка открывает инициативе следующую стадию, но не доказывает её правоту и не превращает сторонников в представителей всех граждан.</w:t>
      </w:r>
    </w:p>
    <w:p>
      <w:pPr>
        <w:pStyle w:val="Heading2"/>
        <w:keepNext/>
        <w:widowControl/>
      </w:pPr>
      <w:r>
        <w:t>2. Статусы участия</w:t>
      </w:r>
    </w:p>
    <w:p>
      <w:pPr>
        <w:widowControl/>
      </w:pPr>
      <w:r>
        <w:t>Для каждой инициативы отдельно фиксируются:</w:t>
      </w:r>
    </w:p>
    <w:p>
      <w:pPr>
        <w:pStyle w:val="ListBullet"/>
        <w:keepLines/>
        <w:widowControl/>
      </w:pPr>
      <w:r>
        <w:t>поддержка дальнейшего официального рассмотрения;</w:t>
      </w:r>
    </w:p>
    <w:p>
      <w:pPr>
        <w:pStyle w:val="ListBullet"/>
        <w:keepLines/>
        <w:widowControl/>
      </w:pPr>
      <w:r>
        <w:t>несогласие с дальнейшим рассмотрением, если национальная модель предоставляет такую возможность;</w:t>
      </w:r>
    </w:p>
    <w:p>
      <w:pPr>
        <w:pStyle w:val="ListBullet"/>
        <w:keepLines/>
        <w:widowControl/>
      </w:pPr>
      <w:r>
        <w:t>отзыв ранее выраженной поддержки;</w:t>
      </w:r>
    </w:p>
    <w:p>
      <w:pPr>
        <w:pStyle w:val="ListBullet"/>
        <w:keepLines/>
        <w:widowControl/>
      </w:pPr>
      <w:r>
        <w:t>отсутствие действия;</w:t>
      </w:r>
    </w:p>
    <w:p>
      <w:pPr>
        <w:pStyle w:val="ListBullet"/>
        <w:keepLines/>
        <w:widowControl/>
      </w:pPr>
      <w:r>
        <w:t>участие в последующей стадии обсуждения или отбора.</w:t>
      </w:r>
    </w:p>
    <w:p>
      <w:pPr>
        <w:widowControl/>
      </w:pPr>
      <w:r>
        <w:t>Эти действия не смешиваются. Поддержка рассмотрения не приписывается гражданину как согласие с финальной редакцией, способом финансирования или будущей декларацией кандидата.</w:t>
      </w:r>
    </w:p>
    <w:p>
      <w:pPr>
        <w:pStyle w:val="Heading3"/>
        <w:keepNext/>
        <w:widowControl/>
      </w:pPr>
      <w:r>
        <w:t>2.1. Статусы легитимности результата</w:t>
      </w:r>
    </w:p>
    <w:p>
      <w:pPr>
        <w:widowControl/>
      </w:pPr>
      <w:r>
        <w:t>Доктрина различает: поддержанную инициативу; утверждённый общественный приоритет; утверждённый пункт общественного поручения. Переход к каждому следующему статусу происходит только по заранее опубликованной автоматической формуле.</w:t>
      </w:r>
    </w:p>
    <w:p>
      <w:pPr>
        <w:widowControl/>
      </w:pPr>
      <w:r>
        <w:t>Сильный кандидатский режим применяется только к пункту общественного мандата, который достиг обоснованного абсолютного порога, минимальной информированной явки и не обнаружил недопустимых устойчивых территориальных или социальных разрывов. Низкое участие не аннулирует голос, но автоматически понижает статус; орган не вправе повысить его после подсчёта.</w:t>
      </w:r>
    </w:p>
    <w:p>
      <w:pPr>
        <w:pStyle w:val="Heading2"/>
        <w:keepNext/>
        <w:widowControl/>
      </w:pPr>
      <w:r>
        <w:t>3. Равенство индивидуального участия</w:t>
      </w:r>
    </w:p>
    <w:p>
      <w:pPr>
        <w:widowControl/>
      </w:pPr>
      <w:r>
        <w:t>Каждое правомерное действие одного участника имеет одинаковый юридический вес. Запрещается увеличивать или уменьшать его из-за территории, образования, дохода, цифрового канала, членства в группе, экспертного статуса или интенсивности участия.</w:t>
      </w:r>
    </w:p>
    <w:p>
      <w:pPr>
        <w:widowControl/>
      </w:pPr>
      <w:r>
        <w:t>Территориальная и социальная информация используется для диагностики барьеров и описания результата, но не для тайного взвешивания голосов. Исключение возможно только при наличии самостоятельного конституционного механизма федеративного или множественного большинства, прямо воспроизведённого национальной адаптацией.</w:t>
      </w:r>
    </w:p>
    <w:p>
      <w:pPr>
        <w:pStyle w:val="Heading2"/>
        <w:keepNext/>
        <w:widowControl/>
      </w:pPr>
      <w:r>
        <w:t>4. Порог поддержки</w:t>
      </w:r>
    </w:p>
    <w:p>
      <w:pPr>
        <w:widowControl/>
      </w:pPr>
      <w:r>
        <w:t>Порог означает минимальную подтверждённую поддержку, после которой инициатива получает право на пропорциональную экспертизу, обсуждение и участие в гражданском предварительном отборе.</w:t>
      </w:r>
    </w:p>
    <w:p>
      <w:pPr>
        <w:widowControl/>
      </w:pPr>
      <w:r>
        <w:t>Порог:</w:t>
      </w:r>
    </w:p>
    <w:p>
      <w:pPr>
        <w:pStyle w:val="ListBullet"/>
        <w:keepLines/>
        <w:widowControl/>
      </w:pPr>
      <w:r>
        <w:t>устанавливается законом до начала цикла;</w:t>
      </w:r>
    </w:p>
    <w:p>
      <w:pPr>
        <w:pStyle w:val="ListBullet"/>
        <w:keepLines/>
        <w:widowControl/>
      </w:pPr>
      <w:r>
        <w:t>зависит от уровня власти и стоимости обработки, а не от политической темы;</w:t>
      </w:r>
    </w:p>
    <w:p>
      <w:pPr>
        <w:pStyle w:val="ListBullet"/>
        <w:keepLines/>
        <w:widowControl/>
      </w:pPr>
      <w:r>
        <w:t>выражается одновременно в абсолютном числе и доле соответствующего корпуса;</w:t>
      </w:r>
    </w:p>
    <w:p>
      <w:pPr>
        <w:pStyle w:val="ListBullet"/>
        <w:keepLines/>
        <w:widowControl/>
      </w:pPr>
      <w:r>
        <w:t>не меняется применительно к конкретной инициативе;</w:t>
      </w:r>
    </w:p>
    <w:p>
      <w:pPr>
        <w:pStyle w:val="ListBullet"/>
        <w:keepLines/>
        <w:widowControl/>
      </w:pPr>
      <w:r>
        <w:t>не объявляется доказательством мандата;</w:t>
      </w:r>
    </w:p>
    <w:p>
      <w:pPr>
        <w:pStyle w:val="ListBullet"/>
        <w:keepLines/>
        <w:widowControl/>
      </w:pPr>
      <w:r>
        <w:t>пересматривается только между циклами после публичной оценки последствий.</w:t>
      </w:r>
    </w:p>
    <w:p>
      <w:pPr>
        <w:widowControl/>
      </w:pPr>
      <w:r>
        <w:t>Национальная модель может использовать ступенчатый порог: низкий для получения официального ответа и более высокий для прохождения полного цикла. Статусы должны называться различно и не вводить граждан в заблуждение.</w:t>
      </w:r>
    </w:p>
    <w:p>
      <w:pPr>
        <w:widowControl/>
      </w:pPr>
      <w:r>
        <w:t>Числовые пороги выбираются по обязательному национальному протоколу: моделирование альтернатив, оценка того, какие группы отсекаются, независимое заключение, публичное обсуждение и замораживание не менее чем на один полный цикл.</w:t>
      </w:r>
    </w:p>
    <w:p>
      <w:pPr>
        <w:pStyle w:val="Heading2"/>
        <w:keepNext/>
        <w:widowControl/>
      </w:pPr>
      <w:r>
        <w:t>5. Отсутствие общего кворума и пределы выводов</w:t>
      </w:r>
    </w:p>
    <w:p>
      <w:pPr>
        <w:widowControl/>
      </w:pPr>
      <w:r>
        <w:t>Бойкот не должен автоматически блокировать участие тех, кто пришёл. Одновременно низкая явка не позволяет называть результат всеобщим консенсусом. Поэтому официальный документ всегда публикует:</w:t>
      </w:r>
    </w:p>
    <w:p>
      <w:pPr>
        <w:pStyle w:val="ListBullet"/>
        <w:keepLines/>
        <w:widowControl/>
      </w:pPr>
      <w:r>
        <w:t>число лиц, имевших право участвовать;</w:t>
      </w:r>
    </w:p>
    <w:p>
      <w:pPr>
        <w:pStyle w:val="ListBullet"/>
        <w:keepLines/>
        <w:widowControl/>
      </w:pPr>
      <w:r>
        <w:t>число уникальных участников;</w:t>
      </w:r>
    </w:p>
    <w:p>
      <w:pPr>
        <w:pStyle w:val="ListBullet"/>
        <w:keepLines/>
        <w:widowControl/>
      </w:pPr>
      <w:r>
        <w:t>абсолютную и относительную поддержку;</w:t>
      </w:r>
    </w:p>
    <w:p>
      <w:pPr>
        <w:pStyle w:val="ListBullet"/>
        <w:keepLines/>
        <w:widowControl/>
      </w:pPr>
      <w:r>
        <w:t>долю неучастия;</w:t>
      </w:r>
    </w:p>
    <w:p>
      <w:pPr>
        <w:pStyle w:val="ListBullet"/>
        <w:keepLines/>
        <w:widowControl/>
      </w:pPr>
      <w:r>
        <w:t>территориальные и социальные разрывы в безопасно агрегированном виде;</w:t>
      </w:r>
    </w:p>
    <w:p>
      <w:pPr>
        <w:pStyle w:val="ListBullet"/>
        <w:keepLines/>
        <w:widowControl/>
      </w:pPr>
      <w:r>
        <w:t>формулу допустимого публичного описания результата.</w:t>
      </w:r>
    </w:p>
    <w:p>
      <w:pPr>
        <w:widowControl/>
      </w:pPr>
      <w:r>
        <w:t>Национальная адаптация может установить минимальный уровень участия для использования термина «широко поддержанный общественный приоритет» либо для перехода к определённому юридически значимому режиму. Такой уровень не должен позволять власти искусственно обнулить результат бойкотом или административным препятствием.</w:t>
      </w:r>
    </w:p>
    <w:p>
      <w:pPr>
        <w:pStyle w:val="Heading2"/>
        <w:keepNext/>
        <w:widowControl/>
      </w:pPr>
      <w:r>
        <w:t>6. Проверка уникальности без политического профиля</w:t>
      </w:r>
    </w:p>
    <w:p>
      <w:pPr>
        <w:widowControl/>
      </w:pPr>
      <w:r>
        <w:t>Право участника проверяется в отдельном контуре. Система получает одноразовый нуллификатор, подтверждающий допустимость одного действия по конкретной инициативе, но не личность и не историю иных действий.</w:t>
      </w:r>
    </w:p>
    <w:p>
      <w:pPr>
        <w:widowControl/>
      </w:pPr>
      <w:r>
        <w:t>Запрещаются:</w:t>
      </w:r>
    </w:p>
    <w:p>
      <w:pPr>
        <w:pStyle w:val="ListBullet"/>
        <w:keepLines/>
        <w:widowControl/>
      </w:pPr>
      <w:r>
        <w:t>единый реестр всех поддержанных инициатив конкретного гражданина;</w:t>
      </w:r>
    </w:p>
    <w:p>
      <w:pPr>
        <w:pStyle w:val="ListBullet"/>
        <w:keepLines/>
        <w:widowControl/>
      </w:pPr>
      <w:r>
        <w:t>долговременное хранение сопоставимых временных и сетевых метаданных;</w:t>
      </w:r>
    </w:p>
    <w:p>
      <w:pPr>
        <w:pStyle w:val="ListBullet"/>
        <w:keepLines/>
        <w:widowControl/>
      </w:pPr>
      <w:r>
        <w:t>передача данных кампании, государственному органу или рекламной системе;</w:t>
      </w:r>
    </w:p>
    <w:p>
      <w:pPr>
        <w:pStyle w:val="ListBullet"/>
        <w:keepLines/>
        <w:widowControl/>
      </w:pPr>
      <w:r>
        <w:t>публикация списка сторонников;</w:t>
      </w:r>
    </w:p>
    <w:p>
      <w:pPr>
        <w:pStyle w:val="ListBullet"/>
        <w:keepLines/>
        <w:widowControl/>
      </w:pPr>
      <w:r>
        <w:t>доказательство третьему лицу содержания действия, пригодное для покупки голоса или давления.</w:t>
      </w:r>
    </w:p>
    <w:p>
      <w:pPr>
        <w:widowControl/>
      </w:pPr>
      <w:r>
        <w:t>Антифрод строится на агрегированных аномалиях, разделении полномочий и проверяемых технических правилах. Расследование конкретного нарушения не превращается в общий доступ к политическим профилям.</w:t>
      </w:r>
    </w:p>
    <w:p>
      <w:pPr>
        <w:pStyle w:val="Heading2"/>
        <w:keepNext/>
        <w:widowControl/>
      </w:pPr>
      <w:r>
        <w:t>7. Организованная мобилизация и происхождение ресурсов</w:t>
      </w:r>
    </w:p>
    <w:p>
      <w:pPr>
        <w:widowControl/>
      </w:pPr>
      <w:r>
        <w:t>Само по себе организованное продвижение законно. Равенство защищается через раскрытие существенного влияния, а не через запрет объединяться. Публикуются:</w:t>
      </w:r>
    </w:p>
    <w:p>
      <w:pPr>
        <w:pStyle w:val="ListBullet"/>
        <w:keepLines/>
        <w:widowControl/>
      </w:pPr>
      <w:r>
        <w:t>профессиональный заказчик и координатор;</w:t>
      </w:r>
    </w:p>
    <w:p>
      <w:pPr>
        <w:pStyle w:val="ListBullet"/>
        <w:keepLines/>
        <w:widowControl/>
      </w:pPr>
      <w:r>
        <w:t>расходы, превышающие установленный порог;</w:t>
      </w:r>
    </w:p>
    <w:p>
      <w:pPr>
        <w:pStyle w:val="ListBullet"/>
        <w:keepLines/>
        <w:widowControl/>
      </w:pPr>
      <w:r>
        <w:t>платная реклама и используемые платформы;</w:t>
      </w:r>
    </w:p>
    <w:p>
      <w:pPr>
        <w:pStyle w:val="ListBullet"/>
        <w:keepLines/>
        <w:widowControl/>
      </w:pPr>
      <w:r>
        <w:t>оплаченная юридическая, аналитическая или технологическая подготовка;</w:t>
      </w:r>
    </w:p>
    <w:p>
      <w:pPr>
        <w:pStyle w:val="ListBullet"/>
        <w:keepLines/>
        <w:widowControl/>
      </w:pPr>
      <w:r>
        <w:t>связанные структуры и конечный бенефициар;</w:t>
      </w:r>
    </w:p>
    <w:p>
      <w:pPr>
        <w:pStyle w:val="ListBullet"/>
        <w:keepLines/>
        <w:widowControl/>
      </w:pPr>
      <w:r>
        <w:t>использование государственных ресурсов.</w:t>
      </w:r>
    </w:p>
    <w:p>
      <w:pPr>
        <w:widowControl/>
      </w:pPr>
      <w:r>
        <w:t>Малые пожертвования и обычное волонтёрство не раскрываются персонально. Антидробительные правила применяются к связанным лицам с презумпцией, которую можно опровергнуть в справедливой процедуре.</w:t>
      </w:r>
    </w:p>
    <w:p>
      <w:pPr>
        <w:widowControl/>
      </w:pPr>
      <w:r>
        <w:t>Автоматизированный антифрод не может единолично отклонять поддержку. Требуются проверка человеком, объяснение, срок исправления, аудит ошибок по языкам, устройствам и группам, а также запрет использовать модель для вывода политического профиля.</w:t>
      </w:r>
    </w:p>
    <w:p>
      <w:pPr>
        <w:pStyle w:val="Heading2"/>
        <w:keepNext/>
        <w:widowControl/>
      </w:pPr>
      <w:r>
        <w:t>8. Территориальная распространённость</w:t>
      </w:r>
    </w:p>
    <w:p>
      <w:pPr>
        <w:widowControl/>
      </w:pPr>
      <w:r>
        <w:t>Территориальное распределение поддержки публикуется, но не является универсальным условием ценности. Проблема одной территории или компактного меньшинства не обязана получать массовую географическую поддержку для официального рассмотрения на компетентном уровне.</w:t>
      </w:r>
    </w:p>
    <w:p>
      <w:pPr>
        <w:widowControl/>
      </w:pPr>
      <w:r>
        <w:t>Для общенационального финального перечня национальная модель может установить территориальный критерий только в пределах конституционного устройства и при наличии альтернативного маршрута для локализованных проблем. Несколько крупных городов не должны автоматически говорить от имени всей страны, но малые территории также не получают абсолютного вето.</w:t>
      </w:r>
    </w:p>
    <w:p>
      <w:pPr>
        <w:pStyle w:val="Heading2"/>
        <w:keepNext/>
        <w:widowControl/>
      </w:pPr>
      <w:r>
        <w:t>9. Защищённый маршрут малых и затрагиваемых групп</w:t>
      </w:r>
    </w:p>
    <w:p>
      <w:pPr>
        <w:widowControl/>
      </w:pPr>
      <w:r>
        <w:t>Защищённый маршрут применяется не к признанной государством идентичности группы, а к инициативе, для которой доказан объективный риск для защищённого права либо структурный барьер массовой поддержки.</w:t>
      </w:r>
    </w:p>
    <w:p>
      <w:pPr>
        <w:widowControl/>
      </w:pPr>
      <w:r>
        <w:t>Членство конкретных лиц не регистрируется без строгой необходимости. Доказательства воздействия рассматриваются конфиденциально; публично раскрываются критерии, конкурирующие позиции и мотивировка. Решение принимает временная разнородная панель с быстрым судебным контролем, после чего внутри защищённого пула действует жеребьёвка.</w:t>
      </w:r>
    </w:p>
    <w:p>
      <w:pPr>
        <w:widowControl/>
      </w:pPr>
      <w:r>
        <w:t>Организация не получает защищённый статус только на основании заявления о представительстве. Проверяются воздействие на право, системный барьер, отсутствие обычного эффективного маршрута и конфликт интересов посредника.</w:t>
      </w:r>
    </w:p>
    <w:p>
      <w:pPr>
        <w:pStyle w:val="Heading2"/>
        <w:keepNext/>
        <w:widowControl/>
      </w:pPr>
      <w:r>
        <w:t>10. Отзыв, изменение и окончание сбора</w:t>
      </w:r>
    </w:p>
    <w:p>
      <w:pPr>
        <w:widowControl/>
      </w:pPr>
      <w:r>
        <w:t>Участник вправе отозвать поддержку до заранее объявленного момента. После существенного изменения рабочей редакции прежняя поддержка не переносится автоматически: гражданину предоставляется возможность подтвердить, отозвать или оставить поддержку только исходному тексту.</w:t>
      </w:r>
    </w:p>
    <w:p>
      <w:pPr>
        <w:widowControl/>
      </w:pPr>
      <w:r>
        <w:t>Продление срока сбора допускается лишь по нейтральным заранее установленным основаниям: системный сбой, стихийное бедствие, доказанное неравенство доступа. Организатор не может продлевать срок для удобной инициативы и прекращать для неудобной.</w:t>
      </w:r>
    </w:p>
    <w:p>
      <w:pPr>
        <w:pStyle w:val="Heading2"/>
        <w:keepNext/>
        <w:widowControl/>
      </w:pPr>
      <w:r>
        <w:t>11. Аномалии, аудит и пересчёт</w:t>
      </w:r>
    </w:p>
    <w:p>
      <w:pPr>
        <w:widowControl/>
      </w:pPr>
      <w:r>
        <w:t>Публичная статистика аномалий не раскрывает политические действия отдельных лиц. Методика обнаружения атак и массовой автоматизации подлежит независимому аудиту. Решение об исключении группы действий принимается коллегиально, фиксируется и допускает проверку без раскрытия содержимого честных действий.</w:t>
      </w:r>
    </w:p>
    <w:p>
      <w:pPr>
        <w:widowControl/>
      </w:pPr>
      <w:r>
        <w:t>При существенном сомнении возможны выборочный аудит, повторная проверка права или повтор соответствующей стадии. Невозможность независимо воспроизвести результат означает, что инициатива не может перейти дальше до устранения проблемы.</w:t>
      </w:r>
    </w:p>
    <w:p>
      <w:pPr>
        <w:widowControl/>
      </w:pPr>
      <w:r>
        <w:t>Для случайного маршрута действует правило «один тематико-целевой кластер — один шанс». Связанные заказчики, финансирование и координация агрегируются; увеличение числа редакций одной цели не увеличивает вероятность отбора.</w:t>
      </w:r>
    </w:p>
    <w:p>
      <w:pPr>
        <w:pStyle w:val="Heading2"/>
        <w:keepNext/>
        <w:widowControl/>
      </w:pPr>
      <w:r>
        <w:t>12. Обжалование и ответственность</w:t>
      </w:r>
    </w:p>
    <w:p>
      <w:pPr>
        <w:widowControl/>
      </w:pPr>
      <w:r>
        <w:t>Обжалуются неправильный подсчёт, неравенство каналов, незаконное исключение действий, манипуляция сроком, необоснованная квалификация кампании и нарушение тайны. Средство защиты должно быть принято до следующей необратимой стадии.</w:t>
      </w:r>
    </w:p>
    <w:p>
      <w:pPr>
        <w:widowControl/>
      </w:pPr>
      <w:r>
        <w:t>Ответственность наступает за массовую фиктивную поддержку, покупку действий, использование административного принуждения, скрытое крупное финансирование, вмешательство в подсчёт и незаконное связывание данных. Не наказывается убеждение граждан, открытая агитация и добровольная координация.</w:t>
      </w:r>
    </w:p>
    <w:p>
      <w:pPr>
        <w:pStyle w:val="Heading2"/>
        <w:keepNext/>
        <w:widowControl/>
      </w:pPr>
      <w:r>
        <w:t>13. Встроенный ответ на сильнейшие возражения</w:t>
      </w:r>
    </w:p>
    <w:p>
      <w:pPr>
        <w:widowControl/>
      </w:pPr>
      <w:r>
        <w:t>Порог не устраняет преимущество организованных субъектов полностью. Поэтому модель сочетает прозрачность ресурсов, равные каналы, защищённый маршрут, гражданский предварительный выбор и случайный элемент. Остаточный риск активности меньшинства признаётся и отражается в языке официального результата.</w:t>
      </w:r>
    </w:p>
    <w:p>
      <w:pPr>
        <w:pStyle w:val="Heading2"/>
        <w:keepNext/>
        <w:widowControl/>
      </w:pPr>
      <w:r>
        <w:t>14. Связь с другими главами и вывод</w:t>
      </w:r>
    </w:p>
    <w:p>
      <w:pPr>
        <w:widowControl/>
      </w:pPr>
      <w:r>
        <w:t>Правила поддержки применяются совместно с доступностью, защитой данных, антикоррупционным раскрытием и механизмом предварительного отбора.</w:t>
      </w:r>
    </w:p>
    <w:p>
      <w:pPr>
        <w:pStyle w:val="DoctrineQuote"/>
        <w:keepLines/>
        <w:widowControl/>
      </w:pPr>
      <w:r>
        <w:t>Представительность не является магическим числом. Это проверяемая совокупность равного права, доступности, прозрачности участия и честного описания тех, кто фактически участвовал и кто остался вне процесса.</w:t>
      </w:r>
    </w:p>
    <w:p>
      <w:pPr>
        <w:pStyle w:val="Heading1"/>
        <w:keepNext/>
        <w:pageBreakBefore/>
        <w:spacing w:before="0" w:after="160"/>
        <w:widowControl/>
        <w:pBdr>
          <w:bottom w:val="single" w:sz="5" w:space="4" w:color="B4C6E7"/>
        </w:pBdr>
      </w:pPr>
      <w:r>
        <w:t>Глава XIII. Объединение, редакционная обработка и защита смысловой целостности инициатив</w:t>
      </w:r>
    </w:p>
    <w:p>
      <w:pPr>
        <w:pStyle w:val="Heading2"/>
        <w:keepNext/>
        <w:widowControl/>
      </w:pPr>
      <w:r>
        <w:t>1. Предмет и цель главы</w:t>
      </w:r>
    </w:p>
    <w:p>
      <w:pPr>
        <w:widowControl/>
      </w:pPr>
      <w:r>
        <w:t>Настоящая глава регулирует устранение технических повторов, подготовку понятных рабочих редакций и защиту гражданского смысла. Цель — сделать процесс управляемым, не создавая скрытого центра власти над формулировкой политического выбора.</w:t>
      </w:r>
    </w:p>
    <w:p>
      <w:pPr>
        <w:pStyle w:val="DoctrineQuote"/>
        <w:keepLines/>
        <w:widowControl/>
      </w:pPr>
      <w:r>
        <w:t>Исходный текст принадлежит истории инициативы. Рабочая редакция принадлежит процедуре. Финальная формулировка получает легитимность только через подтверждение тех, чья поддержка была собрана вокруг соответствующего смысла.</w:t>
      </w:r>
    </w:p>
    <w:p>
      <w:pPr>
        <w:pStyle w:val="Heading2"/>
        <w:keepNext/>
        <w:widowControl/>
      </w:pPr>
      <w:r>
        <w:t>2. Три уровня текста</w:t>
      </w:r>
    </w:p>
    <w:p>
      <w:pPr>
        <w:widowControl/>
      </w:pPr>
      <w:r>
        <w:t>Для каждой инициативы различаются:</w:t>
      </w:r>
    </w:p>
    <w:p>
      <w:pPr>
        <w:pStyle w:val="ListBullet"/>
        <w:keepLines/>
        <w:widowControl/>
      </w:pPr>
      <w:r>
        <w:t>исходный текст — неизменяемая подача инициатора;</w:t>
      </w:r>
    </w:p>
    <w:p>
      <w:pPr>
        <w:pStyle w:val="ListBullet"/>
        <w:keepLines/>
        <w:widowControl/>
      </w:pPr>
      <w:r>
        <w:t>рабочая редакция — версия для экспертизы и обсуждения, создаваемая с участием представителя смысловой позиции;</w:t>
      </w:r>
    </w:p>
    <w:p>
      <w:pPr>
        <w:pStyle w:val="ListBullet"/>
        <w:keepLines/>
        <w:widowControl/>
      </w:pPr>
      <w:r>
        <w:t>финальная формулировка — вопрос или пункт, предназначенный для предварительного и финального гражданского выбора.</w:t>
      </w:r>
    </w:p>
    <w:p>
      <w:pPr>
        <w:widowControl/>
      </w:pPr>
      <w:r>
        <w:t>Каждая версия имеет отдельный идентификатор, дату, автора изменений и машиночитаемое сравнение. Удаление исходного текста, его замена рабочей версией или сокрытие несогласия запрещаются.</w:t>
      </w:r>
    </w:p>
    <w:p>
      <w:pPr>
        <w:pStyle w:val="Heading2"/>
        <w:keepNext/>
        <w:widowControl/>
      </w:pPr>
      <w:r>
        <w:t>3. Техническое и содержательное изменение</w:t>
      </w:r>
    </w:p>
    <w:p>
      <w:pPr>
        <w:widowControl/>
      </w:pPr>
      <w:r>
        <w:t>Техническим считается изменение, которое не меняет цель, круг затрагиваемых лиц, предполагаемый правовой эффект, масштаб, срок, стоимость или распределение выгод и обязанностей. К нему относятся исправление опечаток, нейтральное структурирование, доступный формат и согласованный перевод.</w:t>
      </w:r>
    </w:p>
    <w:p>
      <w:pPr>
        <w:widowControl/>
      </w:pPr>
      <w:r>
        <w:t>Содержательным является любое изменение, способное повлиять на решение разумного участника, в том числе:</w:t>
      </w:r>
    </w:p>
    <w:p>
      <w:pPr>
        <w:pStyle w:val="ListBullet"/>
        <w:keepLines/>
        <w:widowControl/>
      </w:pPr>
      <w:r>
        <w:t>сужение или расширение цели;</w:t>
      </w:r>
    </w:p>
    <w:p>
      <w:pPr>
        <w:pStyle w:val="ListBullet"/>
        <w:keepLines/>
        <w:widowControl/>
      </w:pPr>
      <w:r>
        <w:t>изменение адресата или уровня власти;</w:t>
      </w:r>
    </w:p>
    <w:p>
      <w:pPr>
        <w:pStyle w:val="ListBullet"/>
        <w:keepLines/>
        <w:widowControl/>
      </w:pPr>
      <w:r>
        <w:t>добавление условия;</w:t>
      </w:r>
    </w:p>
    <w:p>
      <w:pPr>
        <w:pStyle w:val="ListBullet"/>
        <w:keepLines/>
        <w:widowControl/>
      </w:pPr>
      <w:r>
        <w:t>изменение срока или охвата;</w:t>
      </w:r>
    </w:p>
    <w:p>
      <w:pPr>
        <w:pStyle w:val="ListBullet"/>
        <w:keepLines/>
        <w:widowControl/>
      </w:pPr>
      <w:r>
        <w:t>замена результата процессом;</w:t>
      </w:r>
    </w:p>
    <w:p>
      <w:pPr>
        <w:pStyle w:val="ListBullet"/>
        <w:keepLines/>
        <w:widowControl/>
      </w:pPr>
      <w:r>
        <w:t>присоединение нового вопроса;</w:t>
      </w:r>
    </w:p>
    <w:p>
      <w:pPr>
        <w:pStyle w:val="ListBullet"/>
        <w:keepLines/>
        <w:widowControl/>
      </w:pPr>
      <w:r>
        <w:t>исключение спорного элемента;</w:t>
      </w:r>
    </w:p>
    <w:p>
      <w:pPr>
        <w:pStyle w:val="ListBullet"/>
        <w:keepLines/>
        <w:widowControl/>
      </w:pPr>
      <w:r>
        <w:t>изменение источника финансирования;</w:t>
      </w:r>
    </w:p>
    <w:p>
      <w:pPr>
        <w:pStyle w:val="ListBullet"/>
        <w:keepLines/>
        <w:widowControl/>
      </w:pPr>
      <w:r>
        <w:t>превращение требования в исследование или декларацию.</w:t>
      </w:r>
    </w:p>
    <w:p>
      <w:pPr>
        <w:widowControl/>
      </w:pPr>
      <w:r>
        <w:t>Содержательное изменение требует явной маркировки и повторного подтверждения поддержки по правилам главы XII.</w:t>
      </w:r>
    </w:p>
    <w:p>
      <w:pPr>
        <w:pStyle w:val="Heading2"/>
        <w:keepNext/>
        <w:widowControl/>
      </w:pPr>
      <w:r>
        <w:t>4. Редакционная коллегия</w:t>
      </w:r>
    </w:p>
    <w:p>
      <w:pPr>
        <w:widowControl/>
      </w:pPr>
      <w:r>
        <w:t>Для инициатив, прошедших первичный порог, создаётся временная редакционная коллегия. В неё входят:</w:t>
      </w:r>
    </w:p>
    <w:p>
      <w:pPr>
        <w:pStyle w:val="ListBullet"/>
        <w:keepLines/>
        <w:widowControl/>
      </w:pPr>
      <w:r>
        <w:t>представитель или представители исходных инициатив;</w:t>
      </w:r>
    </w:p>
    <w:p>
      <w:pPr>
        <w:pStyle w:val="ListBullet"/>
        <w:keepLines/>
        <w:widowControl/>
      </w:pPr>
      <w:r>
        <w:t>специалист по ясному и доступному языку;</w:t>
      </w:r>
    </w:p>
    <w:p>
      <w:pPr>
        <w:pStyle w:val="ListBullet"/>
        <w:keepLines/>
        <w:widowControl/>
      </w:pPr>
      <w:r>
        <w:t>юрист по компетенции без права правового вето;</w:t>
      </w:r>
    </w:p>
    <w:p>
      <w:pPr>
        <w:pStyle w:val="ListBullet"/>
        <w:keepLines/>
        <w:widowControl/>
      </w:pPr>
      <w:r>
        <w:t>предметный специалист без права определять политическую цель;</w:t>
      </w:r>
    </w:p>
    <w:p>
      <w:pPr>
        <w:pStyle w:val="ListBullet"/>
        <w:keepLines/>
        <w:widowControl/>
      </w:pPr>
      <w:r>
        <w:t>представитель доступности или перевода, когда это необходимо;</w:t>
      </w:r>
    </w:p>
    <w:p>
      <w:pPr>
        <w:pStyle w:val="ListBullet"/>
        <w:keepLines/>
        <w:widowControl/>
      </w:pPr>
      <w:r>
        <w:t>независимый процессный модератор.</w:t>
      </w:r>
    </w:p>
    <w:p>
      <w:pPr>
        <w:widowControl/>
      </w:pPr>
      <w:r>
        <w:t>Коллегия прекращает полномочия после утверждения финальной формулировки. Её заседания, предложения и разногласия протоколируются. Один участник не может одновременно быть редактором, правовым судьёй и организатором последующего отбора.</w:t>
      </w:r>
    </w:p>
    <w:p>
      <w:pPr>
        <w:pStyle w:val="Heading2"/>
        <w:keepNext/>
        <w:widowControl/>
      </w:pPr>
      <w:r>
        <w:t>5. Право инициатора и пределы его контроля</w:t>
      </w:r>
    </w:p>
    <w:p>
      <w:pPr>
        <w:widowControl/>
      </w:pPr>
      <w:r>
        <w:t>Инициатор вправе:</w:t>
      </w:r>
    </w:p>
    <w:p>
      <w:pPr>
        <w:pStyle w:val="ListBullet"/>
        <w:keepLines/>
        <w:widowControl/>
      </w:pPr>
      <w:r>
        <w:t>сохранить исходный текст;</w:t>
      </w:r>
    </w:p>
    <w:p>
      <w:pPr>
        <w:pStyle w:val="ListBullet"/>
        <w:keepLines/>
        <w:widowControl/>
      </w:pPr>
      <w:r>
        <w:t>принять или отклонить предложенную рабочую редакцию;</w:t>
      </w:r>
    </w:p>
    <w:p>
      <w:pPr>
        <w:pStyle w:val="ListBullet"/>
        <w:keepLines/>
        <w:widowControl/>
      </w:pPr>
      <w:r>
        <w:t>представить собственную альтернативу;</w:t>
      </w:r>
    </w:p>
    <w:p>
      <w:pPr>
        <w:pStyle w:val="ListBullet"/>
        <w:keepLines/>
        <w:widowControl/>
      </w:pPr>
      <w:r>
        <w:t>потребовать публикации особого мнения;</w:t>
      </w:r>
    </w:p>
    <w:p>
      <w:pPr>
        <w:pStyle w:val="ListBullet"/>
        <w:keepLines/>
        <w:widowControl/>
      </w:pPr>
      <w:r>
        <w:t>выйти из редакционной работы без удаления инициативы;</w:t>
      </w:r>
    </w:p>
    <w:p>
      <w:pPr>
        <w:pStyle w:val="ListBullet"/>
        <w:keepLines/>
        <w:widowControl/>
      </w:pPr>
      <w:r>
        <w:t>обжаловать искажение.</w:t>
      </w:r>
    </w:p>
    <w:p>
      <w:pPr>
        <w:widowControl/>
      </w:pPr>
      <w:r>
        <w:t>Инициатор не обладает правом блокировать нейтральное исправление очевидной ошибки, присваивать поддержку иной цели или единолично представлять всех поддержавших после существенного изменения. При коллективной инициативе внутреннее решение принимается по заранее раскрытым правилам.</w:t>
      </w:r>
    </w:p>
    <w:p>
      <w:pPr>
        <w:pStyle w:val="Heading2"/>
        <w:keepNext/>
        <w:widowControl/>
      </w:pPr>
      <w:r>
        <w:t>6. Кластеризация близких инициатив</w:t>
      </w:r>
    </w:p>
    <w:p>
      <w:pPr>
        <w:widowControl/>
      </w:pPr>
      <w:r>
        <w:t>Близкие инициативы могут объединяться в тематический кластер для удобства навигации. Кластеризация не означает автоматического слияния голосов, текстов и авторства.</w:t>
      </w:r>
    </w:p>
    <w:p>
      <w:pPr>
        <w:widowControl/>
      </w:pPr>
      <w:r>
        <w:t>Полное объединение допускается, когда совпадают основная цель, адресат, масштаб и предполагаемый эффект. Авторы получают сравнительную карту и срок для возражения. При существенном различии создаются альтернативные ветви, а не искусственный компромисс.</w:t>
      </w:r>
    </w:p>
    <w:p>
      <w:pPr>
        <w:widowControl/>
      </w:pPr>
      <w:r>
        <w:t>Запрещается:</w:t>
      </w:r>
    </w:p>
    <w:p>
      <w:pPr>
        <w:pStyle w:val="ListBullet"/>
        <w:keepLines/>
        <w:widowControl/>
      </w:pPr>
      <w:r>
        <w:t>объединять популярную инициативу с заведомо непопулярным требованием;</w:t>
      </w:r>
    </w:p>
    <w:p>
      <w:pPr>
        <w:pStyle w:val="ListBullet"/>
        <w:keepLines/>
        <w:widowControl/>
      </w:pPr>
      <w:r>
        <w:t>дробить один смысл на множество записей для рассеивания поддержки;</w:t>
      </w:r>
    </w:p>
    <w:p>
      <w:pPr>
        <w:pStyle w:val="ListBullet"/>
        <w:keepLines/>
        <w:widowControl/>
      </w:pPr>
      <w:r>
        <w:t>присоединять противоположные способы как единый пакет;</w:t>
      </w:r>
    </w:p>
    <w:p>
      <w:pPr>
        <w:pStyle w:val="ListBullet"/>
        <w:keepLines/>
        <w:widowControl/>
      </w:pPr>
      <w:r>
        <w:t>выбирать формулировку, удобную для действующей власти или конкретного кандидата;</w:t>
      </w:r>
    </w:p>
    <w:p>
      <w:pPr>
        <w:pStyle w:val="ListBullet"/>
        <w:keepLines/>
        <w:widowControl/>
      </w:pPr>
      <w:r>
        <w:t>переносить поддержку с одной ветви на другую без подтверждения.</w:t>
      </w:r>
    </w:p>
    <w:p>
      <w:pPr>
        <w:widowControl/>
      </w:pPr>
      <w:r>
        <w:t>Кластеризация исходит из тематико-целевого ядра: одна общественная цель получает один лотерейный шанс независимо от числа редакций и способов юридической упаковки. После выбора кластера отдельная прозрачная процедура определяет формулировку или набор реально различающихся альтернатив.</w:t>
      </w:r>
    </w:p>
    <w:p>
      <w:pPr>
        <w:widowControl/>
      </w:pPr>
      <w:r>
        <w:t>Критерии сходства публикуются заранее. Машинная система только предлагает кластер; итоговое решение сопровождается картой признаков, сведениями о связанной координации и быстрым обжалованием.</w:t>
      </w:r>
    </w:p>
    <w:p>
      <w:pPr>
        <w:pStyle w:val="Heading2"/>
        <w:keepNext/>
        <w:widowControl/>
      </w:pPr>
      <w:r>
        <w:t>7. Алгоритмические инструменты</w:t>
      </w:r>
    </w:p>
    <w:p>
      <w:pPr>
        <w:widowControl/>
      </w:pPr>
      <w:r>
        <w:t>Алгоритмы могут предлагать сходство, обнаруживать повторы, сравнивать версии и обеспечивать перевод. Они не вправе самостоятельно объединять, отклонять, ранжировать политическую значимость или определять окончательный смысл.</w:t>
      </w:r>
    </w:p>
    <w:p>
      <w:pPr>
        <w:widowControl/>
      </w:pPr>
      <w:r>
        <w:t>Модель, данные и пороги алгоритмической кластеризации документируются и проверяются на языковые, территориальные и идеологические перекосы. Любое решение имеет человека-автора и доступно для обжалования.</w:t>
      </w:r>
    </w:p>
    <w:p>
      <w:pPr>
        <w:pStyle w:val="Heading2"/>
        <w:keepNext/>
        <w:widowControl/>
      </w:pPr>
      <w:r>
        <w:t>8. Проверка понятности и нейтральности</w:t>
      </w:r>
    </w:p>
    <w:p>
      <w:pPr>
        <w:widowControl/>
      </w:pPr>
      <w:r>
        <w:t>Финальная формулировка должна:</w:t>
      </w:r>
    </w:p>
    <w:p>
      <w:pPr>
        <w:pStyle w:val="ListBullet"/>
        <w:keepLines/>
        <w:widowControl/>
      </w:pPr>
      <w:r>
        <w:t>содержать один основной предмет либо ясно раздельные альтернативы;</w:t>
      </w:r>
    </w:p>
    <w:p>
      <w:pPr>
        <w:pStyle w:val="ListBullet"/>
        <w:keepLines/>
        <w:widowControl/>
      </w:pPr>
      <w:r>
        <w:t>не предполагать заранее правильный ответ;</w:t>
      </w:r>
    </w:p>
    <w:p>
      <w:pPr>
        <w:pStyle w:val="ListBullet"/>
        <w:keepLines/>
        <w:widowControl/>
      </w:pPr>
      <w:r>
        <w:t>не использовать унизительную, обвинительную или эмоционально направляющую маркировку;</w:t>
      </w:r>
    </w:p>
    <w:p>
      <w:pPr>
        <w:pStyle w:val="ListBullet"/>
        <w:keepLines/>
        <w:widowControl/>
      </w:pPr>
      <w:r>
        <w:t>раскрывать ключевое условие, если без него смысл вводит в заблуждение;</w:t>
      </w:r>
    </w:p>
    <w:p>
      <w:pPr>
        <w:pStyle w:val="ListBullet"/>
        <w:keepLines/>
        <w:widowControl/>
      </w:pPr>
      <w:r>
        <w:t>быть понятной образованному неспециалисту;</w:t>
      </w:r>
    </w:p>
    <w:p>
      <w:pPr>
        <w:pStyle w:val="ListBullet"/>
        <w:keepLines/>
        <w:widowControl/>
      </w:pPr>
      <w:r>
        <w:t>иметь полную и краткую версии без расхождения смысла;</w:t>
      </w:r>
    </w:p>
    <w:p>
      <w:pPr>
        <w:pStyle w:val="ListBullet"/>
        <w:keepLines/>
        <w:widowControl/>
      </w:pPr>
      <w:r>
        <w:t>сопровождаться исходным текстом и картой изменений.</w:t>
      </w:r>
    </w:p>
    <w:p>
      <w:pPr>
        <w:widowControl/>
      </w:pPr>
      <w:r>
        <w:t>Проверка нейтральности не даёт комиссии права заменить конфликтную политическую цель более умеренной. Острая или непопулярная идея может быть изложена ясно без её обезвреживания.</w:t>
      </w:r>
    </w:p>
    <w:p>
      <w:pPr>
        <w:pStyle w:val="Heading2"/>
        <w:keepNext/>
        <w:widowControl/>
      </w:pPr>
      <w:r>
        <w:t>9. Перевод и многоязычная целостность</w:t>
      </w:r>
    </w:p>
    <w:p>
      <w:pPr>
        <w:widowControl/>
      </w:pPr>
      <w:r>
        <w:t>Все официальные языковые версии имеют одинаковый статус либо национальная модель прямо определяет юридически контрольный текст и механизм устранения расхождений. Переводчики раскрывают существенные неопределённости; спорные термины сопровождаются пояснением, а не скрытым выбором одной интерпретации.</w:t>
      </w:r>
    </w:p>
    <w:p>
      <w:pPr>
        <w:widowControl/>
      </w:pPr>
      <w:r>
        <w:t>Для международной адаптации сохраняется глоссарий ключевых понятий. Термины «общественное поручение», «общественный мандат», «декларация кандидата», «план реализации» и «оценка исполнения» не смешиваются.</w:t>
      </w:r>
    </w:p>
    <w:p>
      <w:pPr>
        <w:widowControl/>
      </w:pPr>
      <w:r>
        <w:t>Юридически исходный текст, сертифицированные переводы и доступные версии образуют единый пакет. При существенном расхождении сохраняются все версии, публикуется лингвистическое особое мнение и проводится повторное подтверждение смысла.</w:t>
      </w:r>
    </w:p>
    <w:p>
      <w:pPr>
        <w:pStyle w:val="Heading2"/>
        <w:keepNext/>
        <w:widowControl/>
      </w:pPr>
      <w:r>
        <w:t>10. Подтверждение финальной формулировки</w:t>
      </w:r>
    </w:p>
    <w:p>
      <w:pPr>
        <w:widowControl/>
      </w:pPr>
      <w:r>
        <w:t>До перехода к углублённой экспертизе либо после неё, если выводы потребовали содержательной корректировки, финальная формулировка подтверждается:</w:t>
      </w:r>
    </w:p>
    <w:p>
      <w:pPr>
        <w:pStyle w:val="ListBullet"/>
        <w:keepLines/>
        <w:widowControl/>
      </w:pPr>
      <w:r>
        <w:t>инициатором или коллегией представителей;</w:t>
      </w:r>
    </w:p>
    <w:p>
      <w:pPr>
        <w:pStyle w:val="ListBullet"/>
        <w:keepLines/>
        <w:widowControl/>
      </w:pPr>
      <w:r>
        <w:t>поддержавшими гражданами в случае существенного изменения;</w:t>
      </w:r>
    </w:p>
    <w:p>
      <w:pPr>
        <w:pStyle w:val="ListBullet"/>
        <w:keepLines/>
        <w:widowControl/>
      </w:pPr>
      <w:r>
        <w:t>независимым проверяющим ясности и доступности;</w:t>
      </w:r>
    </w:p>
    <w:p>
      <w:pPr>
        <w:pStyle w:val="ListBullet"/>
        <w:keepLines/>
        <w:widowControl/>
      </w:pPr>
      <w:r>
        <w:t>процессным оператором только в части полноты следа.</w:t>
      </w:r>
    </w:p>
    <w:p>
      <w:pPr>
        <w:widowControl/>
      </w:pPr>
      <w:r>
        <w:t>Отсутствие согласия не позволяет скрыто заменить инициативу. Исходная версия может продолжить путь, получить предупреждение о последствиях либо разделиться на альтернативы, если соответствует правовым требованиям.</w:t>
      </w:r>
    </w:p>
    <w:p>
      <w:pPr>
        <w:pStyle w:val="Heading2"/>
        <w:keepNext/>
        <w:widowControl/>
      </w:pPr>
      <w:r>
        <w:t>11. Обжалование и восстановление смысла</w:t>
      </w:r>
    </w:p>
    <w:p>
      <w:pPr>
        <w:widowControl/>
      </w:pPr>
      <w:r>
        <w:t>Жалоба на объединение, разделение, перевод, изменение категории или формулировки рассматривается до начала гражданского отбора. Заявитель получает доступ к документам и право предложить конкретное восстановление.</w:t>
      </w:r>
    </w:p>
    <w:p>
      <w:pPr>
        <w:widowControl/>
      </w:pPr>
      <w:r>
        <w:t>Средствами защиты являются отмена редакционного решения, публикация параллельной версии, повторное подтверждение, продление срока, разделение кластера или исключение неправомерно перенесённой поддержки.</w:t>
      </w:r>
    </w:p>
    <w:p>
      <w:pPr>
        <w:pStyle w:val="Heading2"/>
        <w:keepNext/>
        <w:widowControl/>
      </w:pPr>
      <w:r>
        <w:t>12. Ответственность</w:t>
      </w:r>
    </w:p>
    <w:p>
      <w:pPr>
        <w:widowControl/>
      </w:pPr>
      <w:r>
        <w:t>Ответственность наступает за умышленное искажение, скрытое присоединение политического условия, уничтожение версии, фальсификацию согласия, манипуляцию переводом и использование алгоритма вопреки опубликованным правилам. Добросовестное редакционное разногласие не наказывается, если оно раскрыто и может быть оспорено.</w:t>
      </w:r>
    </w:p>
    <w:p>
      <w:pPr>
        <w:pStyle w:val="Heading2"/>
        <w:keepNext/>
        <w:widowControl/>
      </w:pPr>
      <w:r>
        <w:t>13. Встроенный ответ на сильнейшие возражения</w:t>
      </w:r>
    </w:p>
    <w:p>
      <w:pPr>
        <w:widowControl/>
      </w:pPr>
      <w:r>
        <w:t>Полностью устранить влияние языка невозможно: любая краткая формулировка выделяет одни аспекты и опускает другие. Доктрина ограничивает этот остаточный риск неизменяемым источником, множественностью версий, явным авторством, повторным подтверждением и отсутствием права редактора решать политическую судьбу инициативы.</w:t>
      </w:r>
    </w:p>
    <w:p>
      <w:pPr>
        <w:pStyle w:val="Heading2"/>
        <w:keepNext/>
        <w:widowControl/>
      </w:pPr>
      <w:r>
        <w:t>14. Связь с другими главами и вывод</w:t>
      </w:r>
    </w:p>
    <w:p>
      <w:pPr>
        <w:widowControl/>
      </w:pPr>
      <w:r>
        <w:t>Глава связана с правом инициативы, поддержкой, экспертизой, правовой допустимостью, обсуждением, официальным информированием и архивом.</w:t>
      </w:r>
    </w:p>
    <w:p>
      <w:pPr>
        <w:pStyle w:val="DoctrineQuote"/>
        <w:keepLines/>
        <w:widowControl/>
      </w:pPr>
      <w:r>
        <w:t>Управляемость процесса достигается не исчезновением различий, а проверяемым сохранением каждого существенного различия до момента гражданского выбора.</w:t>
      </w:r>
    </w:p>
    <w:p>
      <w:pPr>
        <w:pStyle w:val="Heading1"/>
        <w:keepNext/>
        <w:pageBreakBefore/>
        <w:spacing w:before="0" w:after="160"/>
        <w:widowControl/>
        <w:pBdr>
          <w:bottom w:val="single" w:sz="5" w:space="4" w:color="B4C6E7"/>
        </w:pBdr>
      </w:pPr>
      <w:r>
        <w:t>Глава XIV. Экспертиза последствий общественных инициатив</w:t>
      </w:r>
    </w:p>
    <w:p>
      <w:pPr>
        <w:pStyle w:val="Heading2"/>
        <w:keepNext/>
        <w:widowControl/>
      </w:pPr>
      <w:r>
        <w:t>1. Предмет и цель главы</w:t>
      </w:r>
    </w:p>
    <w:p>
      <w:pPr>
        <w:widowControl/>
      </w:pPr>
      <w:r>
        <w:t>Настоящая глава устанавливает порядок раскрытия правовых, финансовых, социальных, административных, экологических, технологических и иных последствий инициатив. Экспертиза повышает качество гражданского выбора, но не заменяет его.</w:t>
      </w:r>
    </w:p>
    <w:p>
      <w:pPr>
        <w:pStyle w:val="DoctrineQuote"/>
        <w:keepLines/>
        <w:widowControl/>
      </w:pPr>
      <w:r>
        <w:t>Эксперт обязан показать, что известно, чего не известно и от каких допущений зависит вывод. Он не вправе превращать предпочтительный сценарий в единственно допустимую политику.</w:t>
      </w:r>
    </w:p>
    <w:p>
      <w:pPr>
        <w:pStyle w:val="Heading2"/>
        <w:keepNext/>
        <w:widowControl/>
      </w:pPr>
      <w:r>
        <w:t>2. Правовая природа экспертизы</w:t>
      </w:r>
    </w:p>
    <w:p>
      <w:pPr>
        <w:widowControl/>
      </w:pPr>
      <w:r>
        <w:t>Экспертное заключение является публичным информационно-аналитическим документом. Оно не создаёт правового запрета, не определяет истинность политической цели и не служит самостоятельным основанием исключения инициативы из-за стоимости, риска, сложности или предполагаемой неэффективности.</w:t>
      </w:r>
    </w:p>
    <w:p>
      <w:pPr>
        <w:widowControl/>
      </w:pPr>
      <w:r>
        <w:t>Отдельный правовой вывод о недопустимости принимается только по правилам главы XV. Различие между экспертизой последствий и правовым фильтром должно быть видно в составе, документах, основаниях и способах обжалования.</w:t>
      </w:r>
    </w:p>
    <w:p>
      <w:pPr>
        <w:pStyle w:val="Heading2"/>
        <w:keepNext/>
        <w:widowControl/>
      </w:pPr>
      <w:r>
        <w:t>3. Пропорциональная глубина</w:t>
      </w:r>
    </w:p>
    <w:p>
      <w:pPr>
        <w:widowControl/>
      </w:pPr>
      <w:r>
        <w:t>Объём экспертизы соразмеряется со стадией, риском и масштабом:</w:t>
      </w:r>
    </w:p>
    <w:p>
      <w:pPr>
        <w:pStyle w:val="ListBullet"/>
        <w:keepLines/>
        <w:widowControl/>
      </w:pPr>
      <w:r>
        <w:t>базовая карточка — для зарегистрированной инициативы: компетенция, известные аналоги, основные зависимости и предварительный порядок стоимости;</w:t>
      </w:r>
    </w:p>
    <w:p>
      <w:pPr>
        <w:pStyle w:val="ListBullet"/>
        <w:keepLines/>
        <w:widowControl/>
      </w:pPr>
      <w:r>
        <w:t>стандартная оценка — после достижения порога поддержки: правовые варианты, диапазон затрат, административная способность, распределительные последствия и ключевые риски;</w:t>
      </w:r>
    </w:p>
    <w:p>
      <w:pPr>
        <w:pStyle w:val="ListBullet"/>
        <w:keepLines/>
        <w:widowControl/>
      </w:pPr>
      <w:r>
        <w:t>углублённая оценка — для инициатив, претендующих на финальный перечень и способных существенно повлиять на права, бюджет, институты или безопасность;</w:t>
      </w:r>
    </w:p>
    <w:p>
      <w:pPr>
        <w:pStyle w:val="ListBullet"/>
        <w:keepLines/>
        <w:widowControl/>
      </w:pPr>
      <w:r>
        <w:t>обновление — при появлении новых данных, изменении редакции либо существенном изменении обстоятельств.</w:t>
      </w:r>
    </w:p>
    <w:p>
      <w:pPr>
        <w:widowControl/>
      </w:pPr>
      <w:r>
        <w:t>Полная оценка всех поступивших предложений не требуется. Это предотвращает административное разрастание без отказа гражданину в праве инициировать вопрос.</w:t>
      </w:r>
    </w:p>
    <w:p>
      <w:pPr>
        <w:pStyle w:val="Heading2"/>
        <w:keepNext/>
        <w:widowControl/>
      </w:pPr>
      <w:r>
        <w:t>4. Обязательные элементы заключения</w:t>
      </w:r>
    </w:p>
    <w:p>
      <w:pPr>
        <w:widowControl/>
      </w:pPr>
      <w:r>
        <w:t>Углублённое заключение, насколько применимо, содержит:</w:t>
      </w:r>
    </w:p>
    <w:p>
      <w:pPr>
        <w:pStyle w:val="ListBullet"/>
        <w:keepLines/>
        <w:widowControl/>
      </w:pPr>
      <w:r>
        <w:t>точное описание оцениваемой версии;</w:t>
      </w:r>
    </w:p>
    <w:p>
      <w:pPr>
        <w:pStyle w:val="ListBullet"/>
        <w:keepLines/>
        <w:widowControl/>
      </w:pPr>
      <w:r>
        <w:t>паспорт компетенции;</w:t>
      </w:r>
    </w:p>
    <w:p>
      <w:pPr>
        <w:pStyle w:val="ListBullet"/>
        <w:keepLines/>
        <w:widowControl/>
      </w:pPr>
      <w:r>
        <w:t>базовый сценарий без принятия инициативы;</w:t>
      </w:r>
    </w:p>
    <w:p>
      <w:pPr>
        <w:pStyle w:val="ListBullet"/>
        <w:keepLines/>
        <w:widowControl/>
      </w:pPr>
      <w:r>
        <w:t>не менее одного реалистичного альтернативного сценария реализации;</w:t>
      </w:r>
    </w:p>
    <w:p>
      <w:pPr>
        <w:pStyle w:val="ListBullet"/>
        <w:keepLines/>
        <w:widowControl/>
      </w:pPr>
      <w:r>
        <w:t>диапазон стоимости, а не одну псевдоточную цифру;</w:t>
      </w:r>
    </w:p>
    <w:p>
      <w:pPr>
        <w:pStyle w:val="ListBullet"/>
        <w:keepLines/>
        <w:widowControl/>
      </w:pPr>
      <w:r>
        <w:t>возможные источники финансирования и вытесняемые расходы;</w:t>
      </w:r>
    </w:p>
    <w:p>
      <w:pPr>
        <w:pStyle w:val="ListBullet"/>
        <w:keepLines/>
        <w:widowControl/>
      </w:pPr>
      <w:r>
        <w:t>распределение выгод, издержек и рисков между группами, территориями и поколениями;</w:t>
      </w:r>
    </w:p>
    <w:p>
      <w:pPr>
        <w:pStyle w:val="ListBullet"/>
        <w:keepLines/>
        <w:widowControl/>
      </w:pPr>
      <w:r>
        <w:t>правовые предпосылки и необходимые акты;</w:t>
      </w:r>
    </w:p>
    <w:p>
      <w:pPr>
        <w:pStyle w:val="ListBullet"/>
        <w:keepLines/>
        <w:widowControl/>
      </w:pPr>
      <w:r>
        <w:t>административные, кадровые и временные ограничения;</w:t>
      </w:r>
    </w:p>
    <w:p>
      <w:pPr>
        <w:pStyle w:val="ListBullet"/>
        <w:keepLines/>
        <w:widowControl/>
      </w:pPr>
      <w:r>
        <w:t>воздействие на основные права и положение меньшинств;</w:t>
      </w:r>
    </w:p>
    <w:p>
      <w:pPr>
        <w:pStyle w:val="ListBullet"/>
        <w:keepLines/>
        <w:widowControl/>
      </w:pPr>
      <w:r>
        <w:t>чувствительность к ключевым допущениям;</w:t>
      </w:r>
    </w:p>
    <w:p>
      <w:pPr>
        <w:pStyle w:val="ListBullet"/>
        <w:keepLines/>
        <w:widowControl/>
      </w:pPr>
      <w:r>
        <w:t>показатели, по которым позднее можно отличить действие, непосредственный результат и общественный эффект;</w:t>
      </w:r>
    </w:p>
    <w:p>
      <w:pPr>
        <w:pStyle w:val="ListBullet"/>
        <w:keepLines/>
        <w:widowControl/>
      </w:pPr>
      <w:r>
        <w:t>перечень неизвестных и спорных вопросов;</w:t>
      </w:r>
    </w:p>
    <w:p>
      <w:pPr>
        <w:pStyle w:val="ListBullet"/>
        <w:keepLines/>
        <w:widowControl/>
      </w:pPr>
      <w:r>
        <w:t>особые мнения.</w:t>
      </w:r>
    </w:p>
    <w:p>
      <w:pPr>
        <w:pStyle w:val="Heading2"/>
        <w:keepNext/>
        <w:widowControl/>
      </w:pPr>
      <w:r>
        <w:t>5. Состязательность и множественность моделей</w:t>
      </w:r>
    </w:p>
    <w:p>
      <w:pPr>
        <w:widowControl/>
      </w:pPr>
      <w:r>
        <w:t>Для инициатив высокого риска одна организация не получает монополию на модель. Используются независимая рецензия, альтернативный расчёт либо открытый конкурс предположений. В итоговом материале сохраняются различия, а не создаётся искусственный консенсус.</w:t>
      </w:r>
    </w:p>
    <w:p>
      <w:pPr>
        <w:widowControl/>
      </w:pPr>
      <w:r>
        <w:t>Государственное ведомство вправе представить данные и расчёт, но его модель маркируется как позиция заинтересованного исполнителя. То же относится к бизнесу, профсоюзу, общественной организации, инициатору и кампании противников.</w:t>
      </w:r>
    </w:p>
    <w:p>
      <w:pPr>
        <w:widowControl/>
      </w:pPr>
      <w:r>
        <w:t>При существенном методологическом споре гражданам показывается диапазон выводов и причина расхождения: горизонт, ставка дисконтирования, прогноз спроса, стоимость риска, выбор базы, правовая интерпретация или иное допущение.</w:t>
      </w:r>
    </w:p>
    <w:p>
      <w:pPr>
        <w:pStyle w:val="Heading2"/>
        <w:keepNext/>
        <w:widowControl/>
      </w:pPr>
      <w:r>
        <w:t>6. Экспертные панели</w:t>
      </w:r>
    </w:p>
    <w:p>
      <w:pPr>
        <w:widowControl/>
      </w:pPr>
      <w:r>
        <w:t>Панель формируется временно и предметно. Состав должен отражать необходимые дисциплины и конкурирующие профессиональные подходы. Член панели раскрывает:</w:t>
      </w:r>
    </w:p>
    <w:p>
      <w:pPr>
        <w:pStyle w:val="ListBullet"/>
        <w:keepLines/>
        <w:widowControl/>
      </w:pPr>
      <w:r>
        <w:t>финансовый и профессиональный интерес;</w:t>
      </w:r>
    </w:p>
    <w:p>
      <w:pPr>
        <w:pStyle w:val="ListBullet"/>
        <w:keepLines/>
        <w:widowControl/>
      </w:pPr>
      <w:r>
        <w:t>оплачиваемую работу по теме;</w:t>
      </w:r>
    </w:p>
    <w:p>
      <w:pPr>
        <w:pStyle w:val="ListBullet"/>
        <w:keepLines/>
        <w:widowControl/>
      </w:pPr>
      <w:r>
        <w:t>участие в подготовке инициативы или кампании;</w:t>
      </w:r>
    </w:p>
    <w:p>
      <w:pPr>
        <w:pStyle w:val="ListBullet"/>
        <w:keepLines/>
        <w:widowControl/>
      </w:pPr>
      <w:r>
        <w:t>существенную институциональную зависимость;</w:t>
      </w:r>
    </w:p>
    <w:p>
      <w:pPr>
        <w:pStyle w:val="ListBullet"/>
        <w:keepLines/>
        <w:widowControl/>
      </w:pPr>
      <w:r>
        <w:t>источник данных и моделей.</w:t>
      </w:r>
    </w:p>
    <w:p>
      <w:pPr>
        <w:widowControl/>
      </w:pPr>
      <w:r>
        <w:t>Конфликт интересов не всегда требует исключения: иногда заинтересованный эксперт обладает необходимыми знаниями. В таком случае его роль и ограничение раскрываются, а вывод не остаётся единственным.</w:t>
      </w:r>
    </w:p>
    <w:p>
      <w:pPr>
        <w:pStyle w:val="Heading2"/>
        <w:keepNext/>
        <w:widowControl/>
      </w:pPr>
      <w:r>
        <w:t>7. Открытость данных и воспроизводимость</w:t>
      </w:r>
    </w:p>
    <w:p>
      <w:pPr>
        <w:widowControl/>
      </w:pPr>
      <w:r>
        <w:t>Исходные данные, код расчёта, формулы и методика публикуются в объёме, позволяющем независимую репликацию, кроме законно защищаемых сведений. Если открытая публикация невозможна, создаётся безопасный доступ независимому аудитору и публичное резюме ограничений.</w:t>
      </w:r>
    </w:p>
    <w:p>
      <w:pPr>
        <w:widowControl/>
      </w:pPr>
      <w:r>
        <w:t>Изменение модели не переписывает предыдущую версию. Сохраняются исходный расчёт, новая версия, причина изменения и сопоставление результатов по обеим методикам.</w:t>
      </w:r>
    </w:p>
    <w:p>
      <w:pPr>
        <w:widowControl/>
      </w:pPr>
      <w:r>
        <w:t>Недоступность данных прямо указывается. Отсутствующая информация не заменяется категоричной оценкой и не используется как скрытый запрет.</w:t>
      </w:r>
    </w:p>
    <w:p>
      <w:pPr>
        <w:pStyle w:val="Heading2"/>
        <w:keepNext/>
        <w:widowControl/>
      </w:pPr>
      <w:r>
        <w:t>8. Финансовая оценка без бюджетного вето</w:t>
      </w:r>
    </w:p>
    <w:p>
      <w:pPr>
        <w:widowControl/>
      </w:pPr>
      <w:r>
        <w:t>Фискальная оценка показывает несколько допустимых вариантов:</w:t>
      </w:r>
    </w:p>
    <w:p>
      <w:pPr>
        <w:pStyle w:val="ListBullet"/>
        <w:keepLines/>
        <w:widowControl/>
      </w:pPr>
      <w:r>
        <w:t>перераспределение существующих расходов;</w:t>
      </w:r>
    </w:p>
    <w:p>
      <w:pPr>
        <w:pStyle w:val="ListBullet"/>
        <w:keepLines/>
        <w:widowControl/>
      </w:pPr>
      <w:r>
        <w:t>новые доходы;</w:t>
      </w:r>
    </w:p>
    <w:p>
      <w:pPr>
        <w:pStyle w:val="ListBullet"/>
        <w:keepLines/>
        <w:widowControl/>
      </w:pPr>
      <w:r>
        <w:t>заимствование в пределах закона;</w:t>
      </w:r>
    </w:p>
    <w:p>
      <w:pPr>
        <w:pStyle w:val="ListBullet"/>
        <w:keepLines/>
        <w:widowControl/>
      </w:pPr>
      <w:r>
        <w:t>поэтапность;</w:t>
      </w:r>
    </w:p>
    <w:p>
      <w:pPr>
        <w:pStyle w:val="ListBullet"/>
        <w:keepLines/>
        <w:widowControl/>
      </w:pPr>
      <w:r>
        <w:t>совместное финансирование разных уровней;</w:t>
      </w:r>
    </w:p>
    <w:p>
      <w:pPr>
        <w:pStyle w:val="ListBullet"/>
        <w:keepLines/>
        <w:widowControl/>
      </w:pPr>
      <w:r>
        <w:t>изменение масштаба или срока;</w:t>
      </w:r>
    </w:p>
    <w:p>
      <w:pPr>
        <w:pStyle w:val="ListBullet"/>
        <w:keepLines/>
        <w:widowControl/>
      </w:pPr>
      <w:r>
        <w:t>отказ от иных пунктов.</w:t>
      </w:r>
    </w:p>
    <w:p>
      <w:pPr>
        <w:widowControl/>
      </w:pPr>
      <w:r>
        <w:t>Фискальный субъект не решает, какая инициатива политически предпочтительна. Он устанавливает диапазоны, ограничения и совместимость сценариев. Если несколько инициатив одновременно не помещаются в один ресурсный контур, эта несовместимость превращается в явный предмет гражданского ранжирования, а не в административное исключение.</w:t>
      </w:r>
    </w:p>
    <w:p>
      <w:pPr>
        <w:widowControl/>
      </w:pPr>
      <w:r>
        <w:t>Ни один расчёт не создаёт полномочия возложить расходы на регион, муниципалитет или независимый орган без их правового основания и предусмотренного финансирования.</w:t>
      </w:r>
    </w:p>
    <w:p>
      <w:pPr>
        <w:pStyle w:val="Heading2"/>
        <w:keepNext/>
        <w:widowControl/>
      </w:pPr>
      <w:r>
        <w:t>9. Воздействие на права и меньшинства</w:t>
      </w:r>
    </w:p>
    <w:p>
      <w:pPr>
        <w:widowControl/>
      </w:pPr>
      <w:r>
        <w:t>Анализ прав не сводится к подсчёту большинства. Он определяет:</w:t>
      </w:r>
    </w:p>
    <w:p>
      <w:pPr>
        <w:pStyle w:val="ListBullet"/>
        <w:keepLines/>
        <w:widowControl/>
      </w:pPr>
      <w:r>
        <w:t>затрагивается ли защищённое ядро права;</w:t>
      </w:r>
    </w:p>
    <w:p>
      <w:pPr>
        <w:pStyle w:val="ListBullet"/>
        <w:keepLines/>
        <w:widowControl/>
      </w:pPr>
      <w:r>
        <w:t>существует ли менее ограничительный способ;</w:t>
      </w:r>
    </w:p>
    <w:p>
      <w:pPr>
        <w:pStyle w:val="ListBullet"/>
        <w:keepLines/>
        <w:widowControl/>
      </w:pPr>
      <w:r>
        <w:t>распределяется ли бремя непропорционально;</w:t>
      </w:r>
    </w:p>
    <w:p>
      <w:pPr>
        <w:pStyle w:val="ListBullet"/>
        <w:keepLines/>
        <w:widowControl/>
      </w:pPr>
      <w:r>
        <w:t>доступны ли эффективные исключения или компенсации;</w:t>
      </w:r>
    </w:p>
    <w:p>
      <w:pPr>
        <w:pStyle w:val="ListBullet"/>
        <w:keepLines/>
        <w:widowControl/>
      </w:pPr>
      <w:r>
        <w:t>не требует ли вопрос отдельной конституционной процедуры;</w:t>
      </w:r>
    </w:p>
    <w:p>
      <w:pPr>
        <w:pStyle w:val="ListBullet"/>
        <w:keepLines/>
        <w:widowControl/>
      </w:pPr>
      <w:r>
        <w:t>какие группы недостаточно представлены в данных.</w:t>
      </w:r>
    </w:p>
    <w:p>
      <w:pPr>
        <w:widowControl/>
      </w:pPr>
      <w:r>
        <w:t>Вывод о риске для прав передаётся в правовую процедуру главы XV. Экспертная панель не вправе самостоятельно запретить инициативу.</w:t>
      </w:r>
    </w:p>
    <w:p>
      <w:pPr>
        <w:pStyle w:val="Heading2"/>
        <w:keepNext/>
        <w:widowControl/>
      </w:pPr>
      <w:r>
        <w:t>10. Коммуникация результатов</w:t>
      </w:r>
    </w:p>
    <w:p>
      <w:pPr>
        <w:widowControl/>
      </w:pPr>
      <w:r>
        <w:t>Публикуются полная версия, краткое нейтральное резюме, таблица ключевых допущений и доступные форматы. Сложность не скрывается за единым баллом, цветом или категорией «хорошо/плохо».</w:t>
      </w:r>
    </w:p>
    <w:p>
      <w:pPr>
        <w:widowControl/>
      </w:pPr>
      <w:r>
        <w:t>Инициатор и критики получают равное право указать фактическую ошибку. Исправление официального расчёта сопровождается журналом; политическое несогласие не выдаётся за фактическую ошибку.</w:t>
      </w:r>
    </w:p>
    <w:p>
      <w:pPr>
        <w:pStyle w:val="Heading2"/>
        <w:keepNext/>
        <w:widowControl/>
      </w:pPr>
      <w:r>
        <w:t>11. Сроки и приоритетность</w:t>
      </w:r>
    </w:p>
    <w:p>
      <w:pPr>
        <w:widowControl/>
      </w:pPr>
      <w:r>
        <w:t>Срок экспертизы устанавливается до начала стадии и не может продлеваться для политически неудобного вопроса без публичного основания. При ограниченной мощности приоритет определяется нейтрально: моментом достижения порога, масштабом необратимого риска и проверяемой жеребьёвкой, а не предпочтением органа.</w:t>
      </w:r>
    </w:p>
    <w:p>
      <w:pPr>
        <w:widowControl/>
      </w:pPr>
      <w:r>
        <w:t>Просрочка не даёт инициативе автоматической положительной оценки, но открывает право на временное средство защиты, сокращённую карточку и ответственность за бездействие.</w:t>
      </w:r>
    </w:p>
    <w:p>
      <w:pPr>
        <w:pStyle w:val="Heading2"/>
        <w:keepNext/>
        <w:widowControl/>
      </w:pPr>
      <w:r>
        <w:t>12. Обжалование и ответственность</w:t>
      </w:r>
    </w:p>
    <w:p>
      <w:pPr>
        <w:widowControl/>
      </w:pPr>
      <w:r>
        <w:t>Можно оспорить конфликт интересов, сокрытие данных, подмену версии, арифметическую ошибку, нарушение опубликованной методики и дискриминационное распределение экспертной мощности. Политический вывод и добросовестный прогноз опровергаются конкурирующим анализом, а не отменяются судом как ложные.</w:t>
      </w:r>
    </w:p>
    <w:p>
      <w:pPr>
        <w:widowControl/>
      </w:pPr>
      <w:r>
        <w:t>Ответственность наступает за фальсификацию, умышленное сокрытие существенного конфликта, манипуляцию данными, подделку рецензирования и грубое нарушение методики. Эксперт не отвечает за добросовестный прогноз, оказавшийся ошибочным.</w:t>
      </w:r>
    </w:p>
    <w:p>
      <w:pPr>
        <w:pStyle w:val="Heading2"/>
        <w:keepNext/>
        <w:widowControl/>
      </w:pPr>
      <w:r>
        <w:t>13. Чрезвычайные и быстро меняющиеся обстоятельства</w:t>
      </w:r>
    </w:p>
    <w:p>
      <w:pPr>
        <w:widowControl/>
      </w:pPr>
      <w:r>
        <w:t>При кризисе заключение может быть сокращено, но обязано раскрывать степень неопределённости и срок повторной оценки. Временная срочность не превращает ведомственный сценарий в окончательную истину.</w:t>
      </w:r>
    </w:p>
    <w:p>
      <w:pPr>
        <w:widowControl/>
      </w:pPr>
      <w:r>
        <w:t>Если после экспертизы обстоятельства существенно изменились, старая оценка сохраняется, а дополнение ясно отделяется от неё. Финальная формулировка не меняется без правил главы XIII.</w:t>
      </w:r>
    </w:p>
    <w:p>
      <w:pPr>
        <w:pStyle w:val="Heading2"/>
        <w:keepNext/>
        <w:widowControl/>
      </w:pPr>
      <w:r>
        <w:t>14. Встроенный ответ на сильнейшие возражения</w:t>
      </w:r>
    </w:p>
    <w:p>
      <w:pPr>
        <w:widowControl/>
      </w:pPr>
      <w:r>
        <w:t>Любая модель содержит ценностные предпосылки. Доктрина не обещает их устранить; она делает их видимыми, допускает конкурирующие расчёты и запрещает превращать экспертное несогласие в политическое вето. Остаточный риск методологического влияния ограничивается воспроизводимостью, состязательностью и отсутствием монополии на окончательный вывод.</w:t>
      </w:r>
    </w:p>
    <w:p>
      <w:pPr>
        <w:pStyle w:val="Heading2"/>
        <w:keepNext/>
        <w:widowControl/>
      </w:pPr>
      <w:r>
        <w:t>15. Связь с другими главами и вывод</w:t>
      </w:r>
    </w:p>
    <w:p>
      <w:pPr>
        <w:widowControl/>
      </w:pPr>
      <w:r>
        <w:t>Глава применяется совместно с редакционной целостностью, правовой допустимостью, обсуждением, финансированием, открытыми данными и последующим мониторингом.</w:t>
      </w:r>
    </w:p>
    <w:p>
      <w:pPr>
        <w:pStyle w:val="DoctrineQuote"/>
        <w:keepLines/>
        <w:widowControl/>
      </w:pPr>
      <w:r>
        <w:t>Хорошая экспертиза не говорит гражданину, как он обязан голосовать. Она не позволяет ему голосовать в неведении о наиболее вероятных последствиях и честно показывает пределы знания.</w:t>
      </w:r>
    </w:p>
    <w:p>
      <w:pPr>
        <w:pStyle w:val="Heading1"/>
        <w:keepNext/>
        <w:pageBreakBefore/>
        <w:spacing w:before="0" w:after="160"/>
        <w:widowControl/>
        <w:pBdr>
          <w:bottom w:val="single" w:sz="5" w:space="4" w:color="B4C6E7"/>
        </w:pBdr>
      </w:pPr>
      <w:r>
        <w:t>Глава XV. Проверка правовой допустимости общественных инициатив</w:t>
      </w:r>
    </w:p>
    <w:p>
      <w:pPr>
        <w:pStyle w:val="Heading2"/>
        <w:keepNext/>
        <w:widowControl/>
      </w:pPr>
      <w:r>
        <w:t>1. Предмет и цель главы</w:t>
      </w:r>
    </w:p>
    <w:p>
      <w:pPr>
        <w:widowControl/>
      </w:pPr>
      <w:r>
        <w:t>Настоящая глава устанавливает минимальный правовой предел общественного выбора. Цель — защищать конституционный порядок, основные права и распределение компетенций, не создавая административную цензуру политически неудобных предложений.</w:t>
      </w:r>
    </w:p>
    <w:p>
      <w:pPr>
        <w:pStyle w:val="DoctrineQuote"/>
        <w:keepLines/>
        <w:widowControl/>
      </w:pPr>
      <w:r>
        <w:t>Правовой фильтр защищает границы допустимой демократической процедуры. Он не охраняет действующую политику от критики и не определяет, какие реформы разумны, своевременны или выгодны государству.</w:t>
      </w:r>
    </w:p>
    <w:p>
      <w:pPr>
        <w:pStyle w:val="Heading2"/>
        <w:keepNext/>
        <w:widowControl/>
      </w:pPr>
      <w:r>
        <w:t>2. Презумпция допуска</w:t>
      </w:r>
    </w:p>
    <w:p>
      <w:pPr>
        <w:widowControl/>
      </w:pPr>
      <w:r>
        <w:t>Зарегистрированная инициатива предполагается допустимой. Сомнение в правовой оценке ведёт к маркировке, уточнению возможной процедуры и ускоренному независимому рассмотрению, а не к тихому удалению.</w:t>
      </w:r>
    </w:p>
    <w:p>
      <w:pPr>
        <w:widowControl/>
      </w:pPr>
      <w:r>
        <w:t>Критика действующей Конституции, предложение изменить закон, перераспределить полномочия или пересмотреть международное обязательство в предусмотренном правом порядке не являются сами по себе недопустимыми. Инициатива может требовать запуска более сложной процедуры, но не получает прямой эффект в обход этой процедуры.</w:t>
      </w:r>
    </w:p>
    <w:p>
      <w:pPr>
        <w:pStyle w:val="Heading2"/>
        <w:keepNext/>
        <w:widowControl/>
      </w:pPr>
      <w:r>
        <w:t>3. Закрытые основания недопустимости</w:t>
      </w:r>
    </w:p>
    <w:p>
      <w:pPr>
        <w:widowControl/>
      </w:pPr>
      <w:r>
        <w:t>Инициатива может быть исключена из обычного контура только если её финальная формулировка непосредственно и неизбежно:</w:t>
      </w:r>
    </w:p>
    <w:p>
      <w:pPr>
        <w:pStyle w:val="ListBullet"/>
        <w:keepLines/>
        <w:widowControl/>
      </w:pPr>
      <w:r>
        <w:t>отменяет или отрицает неотчуждаемое ядро человеческого достоинства и основных прав;</w:t>
      </w:r>
    </w:p>
    <w:p>
      <w:pPr>
        <w:pStyle w:val="ListBullet"/>
        <w:keepLines/>
        <w:widowControl/>
      </w:pPr>
      <w:r>
        <w:t>устанавливает индивидуальную виновность, наказание, конфискацию или иное неблагоприятное решение в отношении определённого лица вне судебной процедуры;</w:t>
      </w:r>
    </w:p>
    <w:p>
      <w:pPr>
        <w:pStyle w:val="ListBullet"/>
        <w:keepLines/>
        <w:widowControl/>
      </w:pPr>
      <w:r>
        <w:t>отменяет периодические свободные выборы, политический плюрализм, независимость суда или тайну голосования;</w:t>
      </w:r>
    </w:p>
    <w:p>
      <w:pPr>
        <w:pStyle w:val="ListBullet"/>
        <w:keepLines/>
        <w:widowControl/>
      </w:pPr>
      <w:r>
        <w:t>предоставляет действующей власти возможность продлить собственные полномочия по упрощённой процедуре;</w:t>
      </w:r>
    </w:p>
    <w:p>
      <w:pPr>
        <w:pStyle w:val="ListBullet"/>
        <w:keepLines/>
        <w:widowControl/>
      </w:pPr>
      <w:r>
        <w:t>призывает к насилию либо дискриминационному лишению прав по защищённому признаку как непосредственному содержанию предлагаемой политики;</w:t>
      </w:r>
    </w:p>
    <w:p>
      <w:pPr>
        <w:pStyle w:val="ListBullet"/>
        <w:keepLines/>
        <w:widowControl/>
      </w:pPr>
      <w:r>
        <w:t>требует действия, которое ни один публичный субъект не вправе совершить и которое не может быть преобразовано в предложение изменить компетенцию законным порядком;</w:t>
      </w:r>
    </w:p>
    <w:p>
      <w:pPr>
        <w:pStyle w:val="ListBullet"/>
        <w:keepLines/>
        <w:widowControl/>
      </w:pPr>
      <w:r>
        <w:t>представляет собой персональный приказ суду, следствию, избирательному органу или иному независимому институту решить конкретное дело определённым образом;</w:t>
      </w:r>
    </w:p>
    <w:p>
      <w:pPr>
        <w:pStyle w:val="ListBullet"/>
        <w:keepLines/>
        <w:widowControl/>
      </w:pPr>
      <w:r>
        <w:t>нарушает абсолютный запрет международного права, обязательный для соответствующего государства.</w:t>
      </w:r>
    </w:p>
    <w:p>
      <w:pPr>
        <w:widowControl/>
      </w:pPr>
      <w:r>
        <w:t>Перечень толкуется узко. Не допускаются дополнительные основания в виде нецелесообразности, угрозы репутации власти, недостаточной общественной значимости, чрезмерной цены, политического радикализма, возможного недовольства, «несвоевременности» или общей ссылки на безопасность без конкретной нормы и доказуемой необходимости.</w:t>
      </w:r>
    </w:p>
    <w:p>
      <w:pPr>
        <w:pStyle w:val="Heading2"/>
        <w:keepNext/>
        <w:widowControl/>
      </w:pPr>
      <w:r>
        <w:t>4. Инициативы об изменении права и Конституции</w:t>
      </w:r>
    </w:p>
    <w:p>
      <w:pPr>
        <w:widowControl/>
      </w:pPr>
      <w:r>
        <w:t>Предложение изменить правовую норму не отклоняется за несоответствие именно той норме, изменение которой оно требует. Карточка обязана раскрыть:</w:t>
      </w:r>
    </w:p>
    <w:p>
      <w:pPr>
        <w:pStyle w:val="ListBullet"/>
        <w:keepLines/>
        <w:widowControl/>
      </w:pPr>
      <w:r>
        <w:t>необходимую процедуру;</w:t>
      </w:r>
    </w:p>
    <w:p>
      <w:pPr>
        <w:pStyle w:val="ListBullet"/>
        <w:keepLines/>
        <w:widowControl/>
      </w:pPr>
      <w:r>
        <w:t>квалифицированное большинство или референдум;</w:t>
      </w:r>
    </w:p>
    <w:p>
      <w:pPr>
        <w:pStyle w:val="ListBullet"/>
        <w:keepLines/>
        <w:widowControl/>
      </w:pPr>
      <w:r>
        <w:t>предварительный контроль;</w:t>
      </w:r>
    </w:p>
    <w:p>
      <w:pPr>
        <w:pStyle w:val="ListBullet"/>
        <w:keepLines/>
        <w:widowControl/>
      </w:pPr>
      <w:r>
        <w:t>пределы изменения;</w:t>
      </w:r>
    </w:p>
    <w:p>
      <w:pPr>
        <w:pStyle w:val="ListBullet"/>
        <w:keepLines/>
        <w:widowControl/>
      </w:pPr>
      <w:r>
        <w:t>невозможность прямой реализации через общественный мандат.</w:t>
      </w:r>
    </w:p>
    <w:p>
      <w:pPr>
        <w:widowControl/>
      </w:pPr>
      <w:r>
        <w:t>Инициатива конституционной значимости проходит обычный общественный цикл только как предложение запустить компетентную процедуру. Любой прямой нормативный эффект возникает исключительно в порядке, уже установленном Конституцией.</w:t>
      </w:r>
    </w:p>
    <w:p>
      <w:pPr>
        <w:pStyle w:val="Heading2"/>
        <w:keepNext/>
        <w:widowControl/>
      </w:pPr>
      <w:r>
        <w:t>5. Компетенция и выбор адресата</w:t>
      </w:r>
    </w:p>
    <w:p>
      <w:pPr>
        <w:widowControl/>
      </w:pPr>
      <w:r>
        <w:t>Ошибка инициатора в определении уровня власти исправляется через паспорт компетенции, а не через отказ. Возможны:</w:t>
      </w:r>
    </w:p>
    <w:p>
      <w:pPr>
        <w:pStyle w:val="ListBullet"/>
        <w:keepLines/>
        <w:widowControl/>
      </w:pPr>
      <w:r>
        <w:t>перенаправление на правильный уровень с сохранением даты и поддержки;</w:t>
      </w:r>
    </w:p>
    <w:p>
      <w:pPr>
        <w:pStyle w:val="ListBullet"/>
        <w:keepLines/>
        <w:widowControl/>
      </w:pPr>
      <w:r>
        <w:t>разделение национальной и региональной частей;</w:t>
      </w:r>
    </w:p>
    <w:p>
      <w:pPr>
        <w:pStyle w:val="ListBullet"/>
        <w:keepLines/>
        <w:widowControl/>
      </w:pPr>
      <w:r>
        <w:t>оформление как инициативы об изменении распределения полномочий;</w:t>
      </w:r>
    </w:p>
    <w:p>
      <w:pPr>
        <w:pStyle w:val="ListBullet"/>
        <w:keepLines/>
        <w:widowControl/>
      </w:pPr>
      <w:r>
        <w:t>указание нескольких самостоятельных соадресатов.</w:t>
      </w:r>
    </w:p>
    <w:p>
      <w:pPr>
        <w:widowControl/>
      </w:pPr>
      <w:r>
        <w:t>Недопустимо оставлять популярный вопрос на заведомо неправильном уровне, чтобы позднее сослаться на отсутствие полномочий. Решение о компетенции принимается до углублённой поддержки и может быть обжаловано затрагиваемым уровнем и инициатором.</w:t>
      </w:r>
    </w:p>
    <w:p>
      <w:pPr>
        <w:pStyle w:val="Heading2"/>
        <w:keepNext/>
        <w:widowControl/>
      </w:pPr>
      <w:r>
        <w:t>6. Орган правовой проверки</w:t>
      </w:r>
    </w:p>
    <w:p>
      <w:pPr>
        <w:widowControl/>
      </w:pPr>
      <w:r>
        <w:t>Первичное заключение готовит временная независимая юридическая панель либо существующая правовая служба с функциональной автономией. Её решение не является окончательным запретом.</w:t>
      </w:r>
    </w:p>
    <w:p>
      <w:pPr>
        <w:widowControl/>
      </w:pPr>
      <w:r>
        <w:t>Состав не должен зависеть от одного политического источника. Распределяются функции:</w:t>
      </w:r>
    </w:p>
    <w:p>
      <w:pPr>
        <w:pStyle w:val="ListBullet"/>
        <w:keepLines/>
        <w:widowControl/>
      </w:pPr>
      <w:r>
        <w:t>правовая панель формулирует заключение;</w:t>
      </w:r>
    </w:p>
    <w:p>
      <w:pPr>
        <w:pStyle w:val="ListBullet"/>
        <w:keepLines/>
        <w:widowControl/>
      </w:pPr>
      <w:r>
        <w:t>инициатор отвечает и предлагает допустимую редакцию;</w:t>
      </w:r>
    </w:p>
    <w:p>
      <w:pPr>
        <w:pStyle w:val="ListBullet"/>
        <w:keepLines/>
        <w:widowControl/>
      </w:pPr>
      <w:r>
        <w:t>затрагиваемые лица и уровни дают позицию;</w:t>
      </w:r>
    </w:p>
    <w:p>
      <w:pPr>
        <w:pStyle w:val="ListBullet"/>
        <w:keepLines/>
        <w:widowControl/>
      </w:pPr>
      <w:r>
        <w:t>независимый суд либо конституционный орган принимает финальное решение в спорном случае;</w:t>
      </w:r>
    </w:p>
    <w:p>
      <w:pPr>
        <w:pStyle w:val="ListBullet"/>
        <w:keepLines/>
        <w:widowControl/>
      </w:pPr>
      <w:r>
        <w:t>процессный оператор исполняет решение без права его расширительного толкования.</w:t>
      </w:r>
    </w:p>
    <w:p>
      <w:pPr>
        <w:widowControl/>
      </w:pPr>
      <w:r>
        <w:t>Член панели не участвует затем в политическом отборе или официальной оценке исполнения того же пункта.</w:t>
      </w:r>
    </w:p>
    <w:p>
      <w:pPr>
        <w:pStyle w:val="Heading2"/>
        <w:keepNext/>
        <w:widowControl/>
      </w:pPr>
      <w:r>
        <w:t>7. Процедура проверки</w:t>
      </w:r>
    </w:p>
    <w:p>
      <w:pPr>
        <w:widowControl/>
      </w:pPr>
      <w:r>
        <w:t>Проверка включает:</w:t>
      </w:r>
    </w:p>
    <w:p>
      <w:pPr>
        <w:keepLines/>
        <w:widowControl/>
        <w:ind w:left="360" w:hanging="360"/>
      </w:pPr>
      <w:r>
        <w:t>1. уведомление о конкретной норме и предполагаемом конфликте;</w:t>
      </w:r>
    </w:p>
    <w:p>
      <w:pPr>
        <w:keepLines/>
        <w:widowControl/>
        <w:ind w:left="360" w:hanging="360"/>
      </w:pPr>
      <w:r>
        <w:t>2. доступ инициатора к материалам;</w:t>
      </w:r>
    </w:p>
    <w:p>
      <w:pPr>
        <w:keepLines/>
        <w:widowControl/>
        <w:ind w:left="360" w:hanging="360"/>
      </w:pPr>
      <w:r>
        <w:t>3. разумный срок для ответа;</w:t>
      </w:r>
    </w:p>
    <w:p>
      <w:pPr>
        <w:keepLines/>
        <w:widowControl/>
        <w:ind w:left="360" w:hanging="360"/>
      </w:pPr>
      <w:r>
        <w:t>4. публикацию основного и особых мнений;</w:t>
      </w:r>
    </w:p>
    <w:p>
      <w:pPr>
        <w:keepLines/>
        <w:widowControl/>
        <w:ind w:left="360" w:hanging="360"/>
      </w:pPr>
      <w:r>
        <w:t>5. тест необходимости и соразмерности;</w:t>
      </w:r>
    </w:p>
    <w:p>
      <w:pPr>
        <w:keepLines/>
        <w:widowControl/>
        <w:ind w:left="360" w:hanging="360"/>
      </w:pPr>
      <w:r>
        <w:t>6. проверку возможности менее ограничительного решения;</w:t>
      </w:r>
    </w:p>
    <w:p>
      <w:pPr>
        <w:keepLines/>
        <w:widowControl/>
        <w:ind w:left="360" w:hanging="360"/>
      </w:pPr>
      <w:r>
        <w:t>7. ускоренное судебное рассмотрение до следующей необратимой стадии;</w:t>
      </w:r>
    </w:p>
    <w:p>
      <w:pPr>
        <w:keepLines/>
        <w:widowControl/>
        <w:ind w:left="360" w:hanging="360"/>
      </w:pPr>
      <w:r>
        <w:t>8. фиксацию точных последствий решения.</w:t>
      </w:r>
    </w:p>
    <w:p>
      <w:pPr>
        <w:widowControl/>
      </w:pPr>
      <w:r>
        <w:t>Обязанность доказать основание ограничения лежит на органе проверки. Неопределённость не толкуется автоматически против гражданской инициативы.</w:t>
      </w:r>
    </w:p>
    <w:p>
      <w:pPr>
        <w:pStyle w:val="Heading2"/>
        <w:keepNext/>
        <w:widowControl/>
      </w:pPr>
      <w:r>
        <w:t>8. Минимально ограничивающее решение</w:t>
      </w:r>
    </w:p>
    <w:p>
      <w:pPr>
        <w:widowControl/>
      </w:pPr>
      <w:r>
        <w:t>Если нарушение относится только к части текста или способу, применяются по порядку:</w:t>
      </w:r>
    </w:p>
    <w:p>
      <w:pPr>
        <w:pStyle w:val="ListBullet"/>
        <w:keepLines/>
        <w:widowControl/>
      </w:pPr>
      <w:r>
        <w:t>предупреждающая маркировка;</w:t>
      </w:r>
    </w:p>
    <w:p>
      <w:pPr>
        <w:pStyle w:val="ListBullet"/>
        <w:keepLines/>
        <w:widowControl/>
      </w:pPr>
      <w:r>
        <w:t>отделение незаконного способа от законной цели;</w:t>
      </w:r>
    </w:p>
    <w:p>
      <w:pPr>
        <w:pStyle w:val="ListBullet"/>
        <w:keepLines/>
        <w:widowControl/>
      </w:pPr>
      <w:r>
        <w:t>предложение нескольких допустимых редакций;</w:t>
      </w:r>
    </w:p>
    <w:p>
      <w:pPr>
        <w:pStyle w:val="ListBullet"/>
        <w:keepLines/>
        <w:widowControl/>
      </w:pPr>
      <w:r>
        <w:t>разделение инициативы;</w:t>
      </w:r>
    </w:p>
    <w:p>
      <w:pPr>
        <w:pStyle w:val="ListBullet"/>
        <w:keepLines/>
        <w:widowControl/>
      </w:pPr>
      <w:r>
        <w:t>перевод в процедуру изменения права;</w:t>
      </w:r>
    </w:p>
    <w:p>
      <w:pPr>
        <w:pStyle w:val="ListBullet"/>
        <w:keepLines/>
        <w:widowControl/>
      </w:pPr>
      <w:r>
        <w:t>исключение только недопустимой части;</w:t>
      </w:r>
    </w:p>
    <w:p>
      <w:pPr>
        <w:pStyle w:val="ListBullet"/>
        <w:keepLines/>
        <w:widowControl/>
      </w:pPr>
      <w:r>
        <w:t>полный отказ как последняя мера.</w:t>
      </w:r>
    </w:p>
    <w:p>
      <w:pPr>
        <w:widowControl/>
      </w:pPr>
      <w:r>
        <w:t>Новая редакция не навязывается инициатору. Он вправе сохранить исходную версию для архива и оспаривания, принять допустимую формулировку либо отказаться от дальнейшего пути.</w:t>
      </w:r>
    </w:p>
    <w:p>
      <w:pPr>
        <w:pStyle w:val="Heading2"/>
        <w:keepNext/>
        <w:widowControl/>
      </w:pPr>
      <w:r>
        <w:t>9. Права меньшинств и защита большинства от злоупотребления</w:t>
      </w:r>
    </w:p>
    <w:p>
      <w:pPr>
        <w:widowControl/>
      </w:pPr>
      <w:r>
        <w:t>Основные права не зависят от популярности. Одновременно ссылка на права не должна использоваться как универсальная формула блокирования перераспределительной, экономической или институциональной политики.</w:t>
      </w:r>
    </w:p>
    <w:p>
      <w:pPr>
        <w:widowControl/>
      </w:pPr>
      <w:r>
        <w:t>Правовой анализ обязан назвать конкретное право, характер ограничения, затрагиваемых лиц, правовую норму и менее ограничительные способы. Общая ссылка на достоинство, порядок или стабильность без этой структуры недостаточна.</w:t>
      </w:r>
    </w:p>
    <w:p>
      <w:pPr>
        <w:widowControl/>
      </w:pPr>
      <w:r>
        <w:t>Защищённый маршрут главы XII не даёт группе права самостоятельно объявлять любую критику недопустимой. Разногласия внутри затрагиваемой группы отражаются в материалах.</w:t>
      </w:r>
    </w:p>
    <w:p>
      <w:pPr>
        <w:pStyle w:val="Heading2"/>
        <w:keepNext/>
        <w:widowControl/>
      </w:pPr>
      <w:r>
        <w:t>10. Вопросы безопасности и секретная информация</w:t>
      </w:r>
    </w:p>
    <w:p>
      <w:pPr>
        <w:widowControl/>
      </w:pPr>
      <w:r>
        <w:t>Ограничение на основании безопасности требует конкретной угрозы, компетенции и доказательства невозможности более узкой меры. Секретный материал может быть представлен допущенному независимому суду или аудитору; публичная часть решения должна позволять понять правовую логику без раскрытия защищаемых сведений.</w:t>
      </w:r>
    </w:p>
    <w:p>
      <w:pPr>
        <w:widowControl/>
      </w:pPr>
      <w:r>
        <w:t>Нельзя исключать целую тематическую область, засекречивать сам факт спора или использовать закрытое заключение как необжалуемое вето. Гриф и необходимость ограничения пересматриваются.</w:t>
      </w:r>
    </w:p>
    <w:p>
      <w:pPr>
        <w:widowControl/>
      </w:pPr>
      <w:r>
        <w:t>Решение не может основываться исключительно на секретном материале, недоступном стороне и её независимому защитнику. При использовании закрытых данных назначается допущенный независимый защитник или эксперт, публикуется минимальное существо довода, а гриф подлежит периодическому пересмотру.</w:t>
      </w:r>
    </w:p>
    <w:p>
      <w:pPr>
        <w:pStyle w:val="Heading2"/>
        <w:keepNext/>
        <w:widowControl/>
      </w:pPr>
      <w:r>
        <w:t>11. Единое окно обжалования</w:t>
      </w:r>
    </w:p>
    <w:p>
      <w:pPr>
        <w:widowControl/>
      </w:pPr>
      <w:r>
        <w:t>Все известные претензии к допустимости, компетенции и формулировке консолидируются до предварительного отбора. Устанавливаются пресекательные сроки для заявителей и суда. Повторное рассмотрение того же основания допускается только при новых существенных фактах.</w:t>
      </w:r>
    </w:p>
    <w:p>
      <w:pPr>
        <w:widowControl/>
      </w:pPr>
      <w:r>
        <w:t>Временная мера не должна автоматически уничтожать политическую актуальность. Суд выбирает наименее ограничительный способ: разрешение продолжить подготовку с предупреждением, резервирование места либо ускоренное окончательное решение.</w:t>
      </w:r>
    </w:p>
    <w:p>
      <w:pPr>
        <w:pStyle w:val="Heading2"/>
        <w:keepNext/>
        <w:widowControl/>
      </w:pPr>
      <w:r>
        <w:t>12. Ответственность</w:t>
      </w:r>
    </w:p>
    <w:p>
      <w:pPr>
        <w:widowControl/>
      </w:pPr>
      <w:r>
        <w:t>Ответственность наступает за заведомо ложное юридическое основание, сокрытие конфликта интересов, незаконное вмешательство, нарушение срока, неисполнение судебного решения и умышленное расширение запрета. Судья и эксперт не отвечают за добросовестную правовую позицию, выраженную в надлежащей процедуре.</w:t>
      </w:r>
    </w:p>
    <w:p>
      <w:pPr>
        <w:pStyle w:val="Heading2"/>
        <w:keepNext/>
        <w:widowControl/>
      </w:pPr>
      <w:r>
        <w:t>13. Чрезвычайные случаи</w:t>
      </w:r>
    </w:p>
    <w:p>
      <w:pPr>
        <w:widowControl/>
      </w:pPr>
      <w:r>
        <w:t>Чрезвычайное положение не отменяет закрытый перечень оснований и судебный контроль. Временная процедура может быть ускорена, но не передана единолично исполнительной власти. Ограничение прекращается автоматически вместе с основанием и не переносится в обычный режим без нового закона.</w:t>
      </w:r>
    </w:p>
    <w:p>
      <w:pPr>
        <w:pStyle w:val="Heading2"/>
        <w:keepNext/>
        <w:widowControl/>
      </w:pPr>
      <w:r>
        <w:t>14. Встроенный ответ на сильнейшие возражения</w:t>
      </w:r>
    </w:p>
    <w:p>
      <w:pPr>
        <w:widowControl/>
      </w:pPr>
      <w:r>
        <w:t>Никакой правовой фильтр не защищён полностью при захваченном суде и расплывчатой Конституции. Доктрина ограничивает риск узким перечнем, публичностью, распределением функций, минимально ограничивающими средствами и невозможностью использовать экспертизу или бюджет как замену правовому основанию. Остаточный риск прямо признаётся.</w:t>
      </w:r>
    </w:p>
    <w:p>
      <w:pPr>
        <w:pStyle w:val="Heading2"/>
        <w:keepNext/>
        <w:widowControl/>
      </w:pPr>
      <w:r>
        <w:t>15. Связь с другими главами и вывод</w:t>
      </w:r>
    </w:p>
    <w:p>
      <w:pPr>
        <w:widowControl/>
      </w:pPr>
      <w:r>
        <w:t>Глава связана с пределами Доктрины, компетенциями, правами, редакционной целостностью, экспертизой, чрезвычайными режимами и национальным конституционным приложением.</w:t>
      </w:r>
    </w:p>
    <w:p>
      <w:pPr>
        <w:pStyle w:val="DoctrineQuote"/>
        <w:keepLines/>
        <w:widowControl/>
      </w:pPr>
      <w:r>
        <w:t>Демократия не обязана предоставлять упрощённый путь для уничтожения собственных правовых основ. Но защита этих основ не должна превращаться в право власти выбирать безопасные для себя общественные вопросы.</w:t>
      </w:r>
    </w:p>
    <w:p>
      <w:pPr>
        <w:pStyle w:val="Heading1"/>
        <w:keepNext/>
        <w:pageBreakBefore/>
        <w:spacing w:before="0" w:after="160"/>
        <w:widowControl/>
        <w:pBdr>
          <w:bottom w:val="single" w:sz="5" w:space="4" w:color="B4C6E7"/>
        </w:pBdr>
      </w:pPr>
      <w:r>
        <w:t>Глава XVI. Общественное обсуждение инициатив</w:t>
      </w:r>
    </w:p>
    <w:p>
      <w:pPr>
        <w:pStyle w:val="Heading2"/>
        <w:keepNext/>
        <w:widowControl/>
      </w:pPr>
      <w:r>
        <w:t>1. Предмет и цель главы</w:t>
      </w:r>
    </w:p>
    <w:p>
      <w:pPr>
        <w:widowControl/>
      </w:pPr>
      <w:r>
        <w:t>Настоящая глава устанавливает условия информированного, состязательного и безопасного обсуждения инициатив, прошедших необходимый порог и первичные проверки. Обсуждение не должно создавать фиктивный консенсус или превращать официальный форум в единственный допустимый источник политической речи.</w:t>
      </w:r>
    </w:p>
    <w:p>
      <w:pPr>
        <w:pStyle w:val="DoctrineQuote"/>
        <w:keepLines/>
        <w:widowControl/>
      </w:pPr>
      <w:r>
        <w:t>Задача обсуждения — не заставить общество согласиться, а сделать видимыми аргументы, последствия, ценностные конфликты и устойчивые разногласия до принятия решения.</w:t>
      </w:r>
    </w:p>
    <w:p>
      <w:pPr>
        <w:pStyle w:val="Heading2"/>
        <w:keepNext/>
        <w:widowControl/>
      </w:pPr>
      <w:r>
        <w:t>2. Плюралистическая модель обсуждения</w:t>
      </w:r>
    </w:p>
    <w:p>
      <w:pPr>
        <w:widowControl/>
      </w:pPr>
      <w:r>
        <w:t>Официальная инфраструктура обеспечивает общий доступ к документам и проверяемый процесс, но не монополизирует политическую дискуссию. Граждане, медиа, партии, организации и неформальные группы вправе обсуждать инициативу на иных площадках в пределах общего закона.</w:t>
      </w:r>
    </w:p>
    <w:p>
      <w:pPr>
        <w:widowControl/>
      </w:pPr>
      <w:r>
        <w:t>Официальный контур включает:</w:t>
      </w:r>
    </w:p>
    <w:p>
      <w:pPr>
        <w:pStyle w:val="ListBullet"/>
        <w:keepLines/>
        <w:widowControl/>
      </w:pPr>
      <w:r>
        <w:t>исходный и финальный тексты;</w:t>
      </w:r>
    </w:p>
    <w:p>
      <w:pPr>
        <w:pStyle w:val="ListBullet"/>
        <w:keepLines/>
        <w:widowControl/>
      </w:pPr>
      <w:r>
        <w:t>карту редакций;</w:t>
      </w:r>
    </w:p>
    <w:p>
      <w:pPr>
        <w:pStyle w:val="ListBullet"/>
        <w:keepLines/>
        <w:widowControl/>
      </w:pPr>
      <w:r>
        <w:t>заключения и альтернативные модели;</w:t>
      </w:r>
    </w:p>
    <w:p>
      <w:pPr>
        <w:pStyle w:val="ListBullet"/>
        <w:keepLines/>
        <w:widowControl/>
      </w:pPr>
      <w:r>
        <w:t>позиции инициатора, сторонников, противников и затрагиваемых групп;</w:t>
      </w:r>
    </w:p>
    <w:p>
      <w:pPr>
        <w:pStyle w:val="ListBullet"/>
        <w:keepLines/>
        <w:widowControl/>
      </w:pPr>
      <w:r>
        <w:t>сведения о крупном финансировании и рекламе;</w:t>
      </w:r>
    </w:p>
    <w:p>
      <w:pPr>
        <w:pStyle w:val="ListBullet"/>
        <w:keepLines/>
        <w:widowControl/>
      </w:pPr>
      <w:r>
        <w:t>открытый календарь мероприятий;</w:t>
      </w:r>
    </w:p>
    <w:p>
      <w:pPr>
        <w:pStyle w:val="ListBullet"/>
        <w:keepLines/>
        <w:widowControl/>
      </w:pPr>
      <w:r>
        <w:t>доступные форматы;</w:t>
      </w:r>
    </w:p>
    <w:p>
      <w:pPr>
        <w:pStyle w:val="ListBullet"/>
        <w:keepLines/>
        <w:widowControl/>
      </w:pPr>
      <w:r>
        <w:t>архив существенных изменений и ответов.</w:t>
      </w:r>
    </w:p>
    <w:p>
      <w:pPr>
        <w:pStyle w:val="Heading2"/>
        <w:keepNext/>
        <w:widowControl/>
      </w:pPr>
      <w:r>
        <w:t>3. Структура материалов «за», «против» и «иные позиции»</w:t>
      </w:r>
    </w:p>
    <w:p>
      <w:pPr>
        <w:widowControl/>
      </w:pPr>
      <w:r>
        <w:t>Для каждой инициативы готовятся сопоставимые материалы, в которых различаются:</w:t>
      </w:r>
    </w:p>
    <w:p>
      <w:pPr>
        <w:pStyle w:val="ListBullet"/>
        <w:keepLines/>
        <w:widowControl/>
      </w:pPr>
      <w:r>
        <w:t>проверяемые факты и официальные данные;</w:t>
      </w:r>
    </w:p>
    <w:p>
      <w:pPr>
        <w:pStyle w:val="ListBullet"/>
        <w:keepLines/>
        <w:widowControl/>
      </w:pPr>
      <w:r>
        <w:t>прогнозы и диапазоны неопределённости;</w:t>
      </w:r>
    </w:p>
    <w:p>
      <w:pPr>
        <w:pStyle w:val="ListBullet"/>
        <w:keepLines/>
        <w:widowControl/>
      </w:pPr>
      <w:r>
        <w:t>ценностные аргументы;</w:t>
      </w:r>
    </w:p>
    <w:p>
      <w:pPr>
        <w:pStyle w:val="ListBullet"/>
        <w:keepLines/>
        <w:widowControl/>
      </w:pPr>
      <w:r>
        <w:t>правовые выводы;</w:t>
      </w:r>
    </w:p>
    <w:p>
      <w:pPr>
        <w:pStyle w:val="ListBullet"/>
        <w:keepLines/>
        <w:widowControl/>
      </w:pPr>
      <w:r>
        <w:t>альтернативные способы достижения цели;</w:t>
      </w:r>
    </w:p>
    <w:p>
      <w:pPr>
        <w:pStyle w:val="ListBullet"/>
        <w:keepLines/>
        <w:widowControl/>
      </w:pPr>
      <w:r>
        <w:t>последствия бездействия;</w:t>
      </w:r>
    </w:p>
    <w:p>
      <w:pPr>
        <w:pStyle w:val="ListBullet"/>
        <w:keepLines/>
        <w:widowControl/>
      </w:pPr>
      <w:r>
        <w:t>существенные разногласия экспертов.</w:t>
      </w:r>
    </w:p>
    <w:p>
      <w:pPr>
        <w:widowControl/>
      </w:pPr>
      <w:r>
        <w:t>Нельзя представлять только бинарные позиции, если спор имеет несколько самостоятельных альтернатив. Резюме не ранжирует аргументы по «разумности» и не скрывает непопулярное мнение.</w:t>
      </w:r>
    </w:p>
    <w:p>
      <w:pPr>
        <w:pStyle w:val="Heading2"/>
        <w:keepNext/>
        <w:widowControl/>
      </w:pPr>
      <w:r>
        <w:t>4. Массовый канал и репрезентативные мини-публики</w:t>
      </w:r>
    </w:p>
    <w:p>
      <w:pPr>
        <w:widowControl/>
      </w:pPr>
      <w:r>
        <w:t>Открытое массовое обсуждение дополняется временными гражданскими панелями, сформированными случайным стратифицированным отбором, когда масштаб и сложность вопроса это оправдывают.</w:t>
      </w:r>
    </w:p>
    <w:p>
      <w:pPr>
        <w:widowControl/>
      </w:pPr>
      <w:r>
        <w:t>Панель:</w:t>
      </w:r>
    </w:p>
    <w:p>
      <w:pPr>
        <w:pStyle w:val="ListBullet"/>
        <w:keepLines/>
        <w:widowControl/>
      </w:pPr>
      <w:r>
        <w:t>не заменяет финальное голосование;</w:t>
      </w:r>
    </w:p>
    <w:p>
      <w:pPr>
        <w:pStyle w:val="ListBullet"/>
        <w:keepLines/>
        <w:widowControl/>
      </w:pPr>
      <w:r>
        <w:t>не получает права вето;</w:t>
      </w:r>
    </w:p>
    <w:p>
      <w:pPr>
        <w:pStyle w:val="ListBullet"/>
        <w:keepLines/>
        <w:widowControl/>
      </w:pPr>
      <w:r>
        <w:t>изучает полный набор материалов;</w:t>
      </w:r>
    </w:p>
    <w:p>
      <w:pPr>
        <w:pStyle w:val="ListBullet"/>
        <w:keepLines/>
        <w:widowControl/>
      </w:pPr>
      <w:r>
        <w:t>вправе задавать вопросы экспертам и заинтересованным сторонам;</w:t>
      </w:r>
    </w:p>
    <w:p>
      <w:pPr>
        <w:pStyle w:val="ListBullet"/>
        <w:keepLines/>
        <w:widowControl/>
      </w:pPr>
      <w:r>
        <w:t>публикует большинство, меньшинство и структуру разногласий;</w:t>
      </w:r>
    </w:p>
    <w:p>
      <w:pPr>
        <w:pStyle w:val="ListBullet"/>
        <w:keepLines/>
        <w:widowControl/>
      </w:pPr>
      <w:r>
        <w:t>прекращает полномочия после выполнения задачи.</w:t>
      </w:r>
    </w:p>
    <w:p>
      <w:pPr>
        <w:widowControl/>
      </w:pPr>
      <w:r>
        <w:t>Стратификация исправляет недостаток слышимости, но не превращает участников панели в юридических представителей соответствующих групп. Пул отбора, отказы и замены подлежат аудиту, чтобы случайность не стала декорацией предварительно очищенного состава.</w:t>
      </w:r>
    </w:p>
    <w:p>
      <w:pPr>
        <w:pStyle w:val="Heading2"/>
        <w:keepNext/>
        <w:widowControl/>
      </w:pPr>
      <w:r>
        <w:t>5. Правила модерации</w:t>
      </w:r>
    </w:p>
    <w:p>
      <w:pPr>
        <w:widowControl/>
      </w:pPr>
      <w:r>
        <w:t>Модерация применяется нейтрально к позиции и ограничивается:</w:t>
      </w:r>
    </w:p>
    <w:p>
      <w:pPr>
        <w:pStyle w:val="ListBullet"/>
        <w:keepLines/>
        <w:widowControl/>
      </w:pPr>
      <w:r>
        <w:t>прямыми угрозами и призывами к непосредственному насилию;</w:t>
      </w:r>
    </w:p>
    <w:p>
      <w:pPr>
        <w:pStyle w:val="ListBullet"/>
        <w:keepLines/>
        <w:widowControl/>
      </w:pPr>
      <w:r>
        <w:t>незаконным раскрытием персональных данных;</w:t>
      </w:r>
    </w:p>
    <w:p>
      <w:pPr>
        <w:pStyle w:val="ListBullet"/>
        <w:keepLines/>
        <w:widowControl/>
      </w:pPr>
      <w:r>
        <w:t>выдачей себя за иное лицо или официальный орган;</w:t>
      </w:r>
    </w:p>
    <w:p>
      <w:pPr>
        <w:pStyle w:val="ListBullet"/>
        <w:keepLines/>
        <w:widowControl/>
      </w:pPr>
      <w:r>
        <w:t>вредоносным кодом, массовым техническим спамом и автоматизированной атакой;</w:t>
      </w:r>
    </w:p>
    <w:p>
      <w:pPr>
        <w:pStyle w:val="ListBullet"/>
        <w:keepLines/>
        <w:widowControl/>
      </w:pPr>
      <w:r>
        <w:t>коммерческой рекламой, не относящейся к вопросу;</w:t>
      </w:r>
    </w:p>
    <w:p>
      <w:pPr>
        <w:pStyle w:val="ListBullet"/>
        <w:keepLines/>
        <w:widowControl/>
      </w:pPr>
      <w:r>
        <w:t>повторным материалом, не добавляющим содержания, при сохранении ссылки на исходную позицию;</w:t>
      </w:r>
    </w:p>
    <w:p>
      <w:pPr>
        <w:pStyle w:val="ListBullet"/>
        <w:keepLines/>
        <w:widowControl/>
      </w:pPr>
      <w:r>
        <w:t>иными узкими основаниями, прямо установленными общим законом.</w:t>
      </w:r>
    </w:p>
    <w:p>
      <w:pPr>
        <w:widowControl/>
      </w:pPr>
      <w:r>
        <w:t>Резкость, эмоциональность, сатира, ошибочная интерпретация, спорный прогноз или критика власти не являются самостоятельным основанием удаления. Каждое ограничение получает уведомление, основание, срок хранения записи и возможность срочного обжалования.</w:t>
      </w:r>
    </w:p>
    <w:p>
      <w:pPr>
        <w:pStyle w:val="Heading2"/>
        <w:keepNext/>
        <w:widowControl/>
      </w:pPr>
      <w:r>
        <w:t>6. Достоверность без государственного арбитра истины</w:t>
      </w:r>
    </w:p>
    <w:p>
      <w:pPr>
        <w:widowControl/>
      </w:pPr>
      <w:r>
        <w:t>Официальный субъект обязан исправлять собственные неверные данные и публиковать источники. Он может маркировать:</w:t>
      </w:r>
    </w:p>
    <w:p>
      <w:pPr>
        <w:pStyle w:val="ListBullet"/>
        <w:keepLines/>
        <w:widowControl/>
      </w:pPr>
      <w:r>
        <w:t>поддельный официальный документ;</w:t>
      </w:r>
    </w:p>
    <w:p>
      <w:pPr>
        <w:pStyle w:val="ListBullet"/>
        <w:keepLines/>
        <w:widowControl/>
      </w:pPr>
      <w:r>
        <w:t>ложную инструкцию о порядке участия;</w:t>
      </w:r>
    </w:p>
    <w:p>
      <w:pPr>
        <w:pStyle w:val="ListBullet"/>
        <w:keepLines/>
        <w:widowControl/>
      </w:pPr>
      <w:r>
        <w:t>нераскрытую платную рекламу;</w:t>
      </w:r>
    </w:p>
    <w:p>
      <w:pPr>
        <w:pStyle w:val="ListBullet"/>
        <w:keepLines/>
        <w:widowControl/>
      </w:pPr>
      <w:r>
        <w:t>синтетическое олицетворение реального лица;</w:t>
      </w:r>
    </w:p>
    <w:p>
      <w:pPr>
        <w:pStyle w:val="ListBullet"/>
        <w:keepLines/>
        <w:widowControl/>
      </w:pPr>
      <w:r>
        <w:t>доказанную техническую координацию ботов;</w:t>
      </w:r>
    </w:p>
    <w:p>
      <w:pPr>
        <w:pStyle w:val="ListBullet"/>
        <w:keepLines/>
        <w:widowControl/>
      </w:pPr>
      <w:r>
        <w:t>похищенные или незаконно обработанные данные.</w:t>
      </w:r>
    </w:p>
    <w:p>
      <w:pPr>
        <w:widowControl/>
      </w:pPr>
      <w:r>
        <w:t>Он не присваивает общеполитическим утверждениям окончательный статус истины или лжи, когда речь идёт о прогнозе, причинности, оценке, научном споре или ценностном суждении. Фактологическое возражение публикуется рядом с исходным материалом, а не уничтожает его без судебного основания.</w:t>
      </w:r>
    </w:p>
    <w:p>
      <w:pPr>
        <w:widowControl/>
      </w:pPr>
      <w:r>
        <w:t>Независимые проверяющие могут предлагать разные выводы. Их методика, финансирование и исправления раскрываются; государство не выбирает одного монопольного проверяющего.</w:t>
      </w:r>
    </w:p>
    <w:p>
      <w:pPr>
        <w:pStyle w:val="Heading2"/>
        <w:keepNext/>
        <w:widowControl/>
      </w:pPr>
      <w:r>
        <w:t>7. Политическая реклама и происхождение контента</w:t>
      </w:r>
    </w:p>
    <w:p>
      <w:pPr>
        <w:widowControl/>
      </w:pPr>
      <w:r>
        <w:t>Платное продвижение, превышающее установленный порог, включается в открытый архив с указанием заказчика, бенефициара, суммы, периода, охвата и основных параметров таргетинга. Микротаргетинг по чувствительным политическим и социальным данным запрещается либо строго ограничивается национальным правом.</w:t>
      </w:r>
    </w:p>
    <w:p>
      <w:pPr>
        <w:widowControl/>
      </w:pPr>
      <w:r>
        <w:t>Обычная личная публикация, волонтёрский материал и малый расход не требуют раскрытия личности автора сверх общих правил. Прозрачность направлена на организованное влияние, а не на создание каталога политических предпочтений граждан.</w:t>
      </w:r>
    </w:p>
    <w:p>
      <w:pPr>
        <w:widowControl/>
      </w:pPr>
      <w:r>
        <w:t>Государственная информационная кампания отделяется от агитации: она объясняет процедуру и представляет все официальные позиции по одинаковому стандарту. Использование административного ресурса для продвижения варианта является нарушением.</w:t>
      </w:r>
    </w:p>
    <w:p>
      <w:pPr>
        <w:pStyle w:val="Heading2"/>
        <w:keepNext/>
        <w:widowControl/>
      </w:pPr>
      <w:r>
        <w:t>8. Равенство внимания</w:t>
      </w:r>
    </w:p>
    <w:p>
      <w:pPr>
        <w:widowControl/>
      </w:pPr>
      <w:r>
        <w:t>Полностью уравнять ресурсы невозможно. Официальный интерфейс обязан, однако:</w:t>
      </w:r>
    </w:p>
    <w:p>
      <w:pPr>
        <w:pStyle w:val="ListBullet"/>
        <w:keepLines/>
        <w:widowControl/>
      </w:pPr>
      <w:r>
        <w:t>не ранжировать материалы по платности, популярности или отношению власти;</w:t>
      </w:r>
    </w:p>
    <w:p>
      <w:pPr>
        <w:pStyle w:val="ListBullet"/>
        <w:keepLines/>
        <w:widowControl/>
      </w:pPr>
      <w:r>
        <w:t>случайно либо ротационно менять порядок сопоставимых позиций;</w:t>
      </w:r>
    </w:p>
    <w:p>
      <w:pPr>
        <w:pStyle w:val="ListBullet"/>
        <w:keepLines/>
        <w:widowControl/>
      </w:pPr>
      <w:r>
        <w:t>показывать источник и дату;</w:t>
      </w:r>
    </w:p>
    <w:p>
      <w:pPr>
        <w:pStyle w:val="ListBullet"/>
        <w:keepLines/>
        <w:widowControl/>
      </w:pPr>
      <w:r>
        <w:t>обеспечивать равный объём базовой карточки;</w:t>
      </w:r>
    </w:p>
    <w:p>
      <w:pPr>
        <w:pStyle w:val="ListBullet"/>
        <w:keepLines/>
        <w:widowControl/>
      </w:pPr>
      <w:r>
        <w:t>не использовать цвет, предупреждение или значение по умолчанию как скрытое подталкивание;</w:t>
      </w:r>
    </w:p>
    <w:p>
      <w:pPr>
        <w:pStyle w:val="ListBullet"/>
        <w:keepLines/>
        <w:widowControl/>
      </w:pPr>
      <w:r>
        <w:t>проводить независимый аудит пользовательского пути;</w:t>
      </w:r>
    </w:p>
    <w:p>
      <w:pPr>
        <w:pStyle w:val="ListBullet"/>
        <w:keepLines/>
        <w:widowControl/>
      </w:pPr>
      <w:r>
        <w:t>предоставлять бесплатный минимальный информационный доступ всем квалифицированным позициям.</w:t>
      </w:r>
    </w:p>
    <w:p>
      <w:pPr>
        <w:widowControl/>
      </w:pPr>
      <w:r>
        <w:t>Алгоритм рекомендаций официальной платформы открывается для аудита и не персонализирует политический материал на основе истории гражданина.</w:t>
      </w:r>
    </w:p>
    <w:p>
      <w:pPr>
        <w:pStyle w:val="Heading2"/>
        <w:keepNext/>
        <w:widowControl/>
      </w:pPr>
      <w:r>
        <w:t>9. Безопасность участников</w:t>
      </w:r>
    </w:p>
    <w:p>
      <w:pPr>
        <w:widowControl/>
      </w:pPr>
      <w:r>
        <w:t>Участник вправе использовать публичный псевдоним, если это не мешает расследованию конкретного правонарушения. Сведения о личности, посещённых материалах и высказанных позициях не объединяются в государственный профиль.</w:t>
      </w:r>
    </w:p>
    <w:p>
      <w:pPr>
        <w:widowControl/>
      </w:pPr>
      <w:r>
        <w:t>Организатор обязан иметь порядок защиты от травли, доксинга, угроз и массового преследования. Защитная мера направляется на противоправное действие и не должна автоматически удалять политическую позицию потерпевшего или обвиняемого.</w:t>
      </w:r>
    </w:p>
    <w:p>
      <w:pPr>
        <w:widowControl/>
      </w:pPr>
      <w:r>
        <w:t>Лица, представляющие уязвимые группы, не обязаны раскрывать медицинские, миграционные, религиозные или иные чувствительные сведения ради подтверждения права говорить о затрагивающей их проблеме.</w:t>
      </w:r>
    </w:p>
    <w:p>
      <w:pPr>
        <w:pStyle w:val="Heading2"/>
        <w:keepNext/>
        <w:widowControl/>
      </w:pPr>
      <w:r>
        <w:t>10. Сроки и информационное равновесие</w:t>
      </w:r>
    </w:p>
    <w:p>
      <w:pPr>
        <w:widowControl/>
      </w:pPr>
      <w:r>
        <w:t>Период обсуждения должен быть достаточным для ознакомления, перевода, альтернативной экспертизы и участия территорий с медленными каналами. Существенно новые официальные данные или содержательное изменение текста запускают дополнительный срок.</w:t>
      </w:r>
    </w:p>
    <w:p>
      <w:pPr>
        <w:widowControl/>
      </w:pPr>
      <w:r>
        <w:t>Вблизи окончания нельзя публиковать преимущественную позицию власти без равного права ответа. Экстренное исправление ложной инструкции о голосовании допускается немедленно, но не используется для расширения контроля над спорным содержанием.</w:t>
      </w:r>
    </w:p>
    <w:p>
      <w:pPr>
        <w:pStyle w:val="Heading2"/>
        <w:keepNext/>
        <w:widowControl/>
      </w:pPr>
      <w:r>
        <w:t>11. Итог обсуждения</w:t>
      </w:r>
    </w:p>
    <w:p>
      <w:pPr>
        <w:widowControl/>
      </w:pPr>
      <w:r>
        <w:t>Результатом является не единое резюме консенсуса, а структурированный отчёт:</w:t>
      </w:r>
    </w:p>
    <w:p>
      <w:pPr>
        <w:pStyle w:val="ListBullet"/>
        <w:keepLines/>
        <w:widowControl/>
      </w:pPr>
      <w:r>
        <w:t>основные аргументы и источники;</w:t>
      </w:r>
    </w:p>
    <w:p>
      <w:pPr>
        <w:pStyle w:val="ListBullet"/>
        <w:keepLines/>
        <w:widowControl/>
      </w:pPr>
      <w:r>
        <w:t>устойчивые области согласия;</w:t>
      </w:r>
    </w:p>
    <w:p>
      <w:pPr>
        <w:pStyle w:val="ListBullet"/>
        <w:keepLines/>
        <w:widowControl/>
      </w:pPr>
      <w:r>
        <w:t>основные линии несогласия;</w:t>
      </w:r>
    </w:p>
    <w:p>
      <w:pPr>
        <w:pStyle w:val="ListBullet"/>
        <w:keepLines/>
        <w:widowControl/>
      </w:pPr>
      <w:r>
        <w:t>вопросы, на которые нет надёжного ответа;</w:t>
      </w:r>
    </w:p>
    <w:p>
      <w:pPr>
        <w:pStyle w:val="ListBullet"/>
        <w:keepLines/>
        <w:widowControl/>
      </w:pPr>
      <w:r>
        <w:t>позиции затрагиваемых групп;</w:t>
      </w:r>
    </w:p>
    <w:p>
      <w:pPr>
        <w:pStyle w:val="ListBullet"/>
        <w:keepLines/>
        <w:widowControl/>
      </w:pPr>
      <w:r>
        <w:t>выводы гражданской панели и особые мнения;</w:t>
      </w:r>
    </w:p>
    <w:p>
      <w:pPr>
        <w:pStyle w:val="ListBullet"/>
        <w:keepLines/>
        <w:widowControl/>
      </w:pPr>
      <w:r>
        <w:t>изменения, внесённые в материалы или формулировку;</w:t>
      </w:r>
    </w:p>
    <w:p>
      <w:pPr>
        <w:pStyle w:val="ListBullet"/>
        <w:keepLines/>
        <w:widowControl/>
      </w:pPr>
      <w:r>
        <w:t>сведения о крупных кампаниях и выявленных нарушениях.</w:t>
      </w:r>
    </w:p>
    <w:p>
      <w:pPr>
        <w:widowControl/>
      </w:pPr>
      <w:r>
        <w:t>Отчёт не присваивает инициативе официальный балл качества и не решает её дальнейшую судьбу.</w:t>
      </w:r>
    </w:p>
    <w:p>
      <w:pPr>
        <w:pStyle w:val="Heading2"/>
        <w:keepNext/>
        <w:widowControl/>
      </w:pPr>
      <w:r>
        <w:t>12. Обжалование и ответственность</w:t>
      </w:r>
    </w:p>
    <w:p>
      <w:pPr>
        <w:widowControl/>
      </w:pPr>
      <w:r>
        <w:t>Обжалуются удаление, ограничение охвата официальной платформой, отказ в праве на ответ, неравное представление, скрытая реклама, незаконное раскрытие личности и манипулятивный интерфейс. Решение принимается до завершения обсуждения либо сопровождается восстановительным сроком.</w:t>
      </w:r>
    </w:p>
    <w:p>
      <w:pPr>
        <w:widowControl/>
      </w:pPr>
      <w:r>
        <w:t>Ответственность наступает за подделку официальных материалов, скрытое крупное финансирование, незаконное использование персональных данных, организованное принуждение, угрозы, вмешательство в платформу и умышленную дискриминацию позиции официальным оператором. Политическая ошибка, спорное мнение или добросовестный прогноз не наказываются.</w:t>
      </w:r>
    </w:p>
    <w:p>
      <w:pPr>
        <w:pStyle w:val="Heading2"/>
        <w:keepNext/>
        <w:widowControl/>
      </w:pPr>
      <w:r>
        <w:t>13. Чрезвычайные и информационные атаки</w:t>
      </w:r>
    </w:p>
    <w:p>
      <w:pPr>
        <w:widowControl/>
      </w:pPr>
      <w:r>
        <w:t>При координированной атаке оператор может временно ограничить технический канал по заранее опубликованной матрице, сохраняя материалы и альтернативный доступ. Единоличное объявление всей дискуссии недействительной запрещается.</w:t>
      </w:r>
    </w:p>
    <w:p>
      <w:pPr>
        <w:widowControl/>
      </w:pPr>
      <w:r>
        <w:t>Внешнее вмешательство расследуется по поведению, финансированию и незаконной координации, а не по содержанию непопулярной позиции. Закрытая информация может использоваться только с независимым контролем и публичным резюме.</w:t>
      </w:r>
    </w:p>
    <w:p>
      <w:pPr>
        <w:pStyle w:val="Heading2"/>
        <w:keepNext/>
        <w:widowControl/>
      </w:pPr>
      <w:r>
        <w:t>14. Встроенный ответ на сильнейшие возражения</w:t>
      </w:r>
    </w:p>
    <w:p>
      <w:pPr>
        <w:widowControl/>
      </w:pPr>
      <w:r>
        <w:t>Обсуждение не устраняет неравенство ресурсов и не гарантирует рациональный консенсус. Оно снижает риск через сопоставимые материалы, раскрытие происхождения, репрезентативную мини-публику, нейтральный интерфейс и сохранение разногласий. Риск манипуляции остаётся, но государственный арбитр истины создавал бы более опасную концентрацию власти.</w:t>
      </w:r>
    </w:p>
    <w:p>
      <w:pPr>
        <w:pStyle w:val="Heading2"/>
        <w:keepNext/>
        <w:widowControl/>
        <w:spacing w:before="60" w:after="20"/>
      </w:pPr>
      <w:r>
        <w:t>15. Связь с другими главами и вывод</w:t>
      </w:r>
    </w:p>
    <w:p>
      <w:pPr>
        <w:widowControl/>
        <w:spacing w:after="0"/>
      </w:pPr>
      <w:r>
        <w:t>Глава применяется совместно с экспертизой, информационным режимом главы XXXV, защитой данных, предварительным отбором и официальным информированием избирателя.</w:t>
      </w:r>
    </w:p>
    <w:p>
      <w:pPr>
        <w:pStyle w:val="DoctrineQuote"/>
        <w:keepNext w:val="0"/>
        <w:keepLines w:val="0"/>
        <w:widowControl/>
        <w:spacing w:before="0" w:after="0" w:line="160" w:lineRule="exact"/>
      </w:pPr>
      <w:r>
        <w:rPr>
          <w:sz w:val="16"/>
        </w:rPr>
        <w:t>Качественное обсуждение измеряется не количеством сообщений и не отсутствием конфликта, а тем, насколько гражданину доступны конкурирующие аргументы, источники, последствия и честное описание неопределённости.</w:t>
      </w:r>
    </w:p>
    <w:p>
      <w:pPr>
        <w:pStyle w:val="Heading1"/>
        <w:keepNext/>
        <w:pageBreakBefore/>
        <w:spacing w:before="0" w:after="160"/>
        <w:widowControl/>
        <w:pBdr>
          <w:bottom w:val="single" w:sz="5" w:space="4" w:color="B4C6E7"/>
        </w:pBdr>
      </w:pPr>
      <w:r>
        <w:t>Глава XVII. Предварительный отбор общественных инициатив</w:t>
      </w:r>
    </w:p>
    <w:p>
      <w:pPr>
        <w:pStyle w:val="Heading2"/>
        <w:keepNext/>
        <w:widowControl/>
      </w:pPr>
      <w:r>
        <w:t>1. Предмет и цель главы</w:t>
      </w:r>
    </w:p>
    <w:p>
      <w:pPr>
        <w:widowControl/>
      </w:pPr>
      <w:r>
        <w:t>Настоящая глава определяет способ сформировать ограниченный перечень инициатив для финального голосования без передачи политического выбора закрытому профессиональному органу. Ограничение числа вопросов необходимо для осознанности, но не оправдывает содержательное вето посредников.</w:t>
      </w:r>
    </w:p>
    <w:p>
      <w:pPr>
        <w:pStyle w:val="DoctrineQuote"/>
        <w:keepLines/>
        <w:widowControl/>
      </w:pPr>
      <w:r>
        <w:t>Предварительный отбор должен отвечать не на вопрос «какая идея правильная», а на вопрос «каким нейтральным и заранее известным способом ограничить объём среди законных, поддержанных и подготовленных инициатив».</w:t>
      </w:r>
    </w:p>
    <w:p>
      <w:pPr>
        <w:pStyle w:val="Heading2"/>
        <w:keepNext/>
        <w:widowControl/>
      </w:pPr>
      <w:r>
        <w:t>2. Квалифицированный пул</w:t>
      </w:r>
    </w:p>
    <w:p>
      <w:pPr>
        <w:widowControl/>
      </w:pPr>
      <w:r>
        <w:t>К участию в предварительном отборе допускаются инициативы, которые:</w:t>
      </w:r>
    </w:p>
    <w:p>
      <w:pPr>
        <w:pStyle w:val="ListBullet"/>
        <w:keepLines/>
        <w:widowControl/>
      </w:pPr>
      <w:r>
        <w:t>прошли регистрацию;</w:t>
      </w:r>
    </w:p>
    <w:p>
      <w:pPr>
        <w:pStyle w:val="ListBullet"/>
        <w:keepLines/>
        <w:widowControl/>
      </w:pPr>
      <w:r>
        <w:t>достигли установленного порога либо получили статус защищённого рассмотрения;</w:t>
      </w:r>
    </w:p>
    <w:p>
      <w:pPr>
        <w:pStyle w:val="ListBullet"/>
        <w:keepLines/>
        <w:widowControl/>
      </w:pPr>
      <w:r>
        <w:t>имеют опубликованные исходную и финальную формулировки;</w:t>
      </w:r>
    </w:p>
    <w:p>
      <w:pPr>
        <w:pStyle w:val="ListBullet"/>
        <w:keepLines/>
        <w:widowControl/>
      </w:pPr>
      <w:r>
        <w:t>получили паспорт компетенции;</w:t>
      </w:r>
    </w:p>
    <w:p>
      <w:pPr>
        <w:pStyle w:val="ListBullet"/>
        <w:keepLines/>
        <w:widowControl/>
      </w:pPr>
      <w:r>
        <w:t>прошли пропорциональную экспертизу;</w:t>
      </w:r>
    </w:p>
    <w:p>
      <w:pPr>
        <w:pStyle w:val="ListBullet"/>
        <w:keepLines/>
        <w:widowControl/>
      </w:pPr>
      <w:r>
        <w:t>завершили правовую проверку;</w:t>
      </w:r>
    </w:p>
    <w:p>
      <w:pPr>
        <w:pStyle w:val="ListBullet"/>
        <w:keepLines/>
        <w:widowControl/>
      </w:pPr>
      <w:r>
        <w:t>прошли минимальный период общественного обсуждения;</w:t>
      </w:r>
    </w:p>
    <w:p>
      <w:pPr>
        <w:pStyle w:val="ListBullet"/>
        <w:keepLines/>
        <w:widowControl/>
      </w:pPr>
      <w:r>
        <w:t>имеют раскрытую историю существенного финансирования и редакций.</w:t>
      </w:r>
    </w:p>
    <w:p>
      <w:pPr>
        <w:widowControl/>
      </w:pPr>
      <w:r>
        <w:t>Экспертная оценка полезности, прогноз политического успеха и отношение действующей власти не влияют на включение в квалифицированный пул.</w:t>
      </w:r>
    </w:p>
    <w:p>
      <w:pPr>
        <w:pStyle w:val="Heading2"/>
        <w:keepNext/>
        <w:widowControl/>
      </w:pPr>
      <w:r>
        <w:t>3. Предельное число вопросов</w:t>
      </w:r>
    </w:p>
    <w:p>
      <w:pPr>
        <w:widowControl/>
      </w:pPr>
      <w:r>
        <w:t>Максимальное число финальных вопросов устанавливается до цикла с учётом когнитивной нагрузки, доступности материалов, стоимости голосования и способности кандидатов дать содержательную позицию. Оно является национальным параметром и не меняется после появления конкретных инициатив.</w:t>
      </w:r>
    </w:p>
    <w:p>
      <w:pPr>
        <w:widowControl/>
      </w:pPr>
      <w:r>
        <w:t>Лимит не должен быть настолько мал, чтобы один или два вопроса монополизировали общественную повестку, либо настолько велик, чтобы гражданин голосовал формально. Его обоснование и данные пилота публикуются.</w:t>
      </w:r>
    </w:p>
    <w:p>
      <w:pPr>
        <w:pStyle w:val="Heading2"/>
        <w:keepNext/>
        <w:widowControl/>
      </w:pPr>
      <w:r>
        <w:t>4. Многоканальная модель отбора</w:t>
      </w:r>
    </w:p>
    <w:p>
      <w:pPr>
        <w:widowControl/>
      </w:pPr>
      <w:r>
        <w:t>Если квалифицированных инициатив не больше лимита, все они переходят дальше. При превышении лимита места распределяются по трём каналам:</w:t>
      </w:r>
    </w:p>
    <w:p>
      <w:pPr>
        <w:keepLines/>
        <w:widowControl/>
        <w:ind w:left="360" w:hanging="360"/>
      </w:pPr>
      <w:r>
        <w:t>1. прямой гражданский канал — инициативы с наибольшей подтверждённой поддержкой после обсуждения;</w:t>
      </w:r>
    </w:p>
    <w:p>
      <w:pPr>
        <w:keepLines/>
        <w:widowControl/>
        <w:ind w:left="360" w:hanging="360"/>
      </w:pPr>
      <w:r>
        <w:t>2. проверяемый случайный канал — публичная жеребьёвка среди остальных квалифицированных инициатив, позволяющая новым и менее ресурсным темам получить шанс;</w:t>
      </w:r>
    </w:p>
    <w:p>
      <w:pPr>
        <w:keepLines/>
        <w:widowControl/>
        <w:ind w:left="360" w:hanging="360"/>
      </w:pPr>
      <w:r>
        <w:t>3. защищённый канал — ограниченное число вопросов, затрагивающих основные права, малочисленные группы или системно недопредставленные территории и прошедших специальную процедуру главы XII.</w:t>
      </w:r>
    </w:p>
    <w:p>
      <w:pPr>
        <w:widowControl/>
      </w:pPr>
      <w:r>
        <w:t>Точные доли устанавливаются национальным законом до цикла. Ни один канал не должен поглощать весь перечень. Государственные, партийные и корпоративные инициативы не могут занимать места, зарезервированные для непосредственного гражданского происхождения.</w:t>
      </w:r>
    </w:p>
    <w:p>
      <w:pPr>
        <w:widowControl/>
      </w:pPr>
      <w:r>
        <w:t>Доли прямого, случайного и защищённого каналов устанавливаются по протоколу национальных параметров, моделируются на неравенство и замораживаются до цикла. Ни один канал не может перераспределяться после появления сведений о вероятных победителях.</w:t>
      </w:r>
    </w:p>
    <w:p>
      <w:pPr>
        <w:pStyle w:val="Heading2"/>
        <w:keepNext/>
        <w:widowControl/>
      </w:pPr>
      <w:r>
        <w:t>5. Прямой гражданский канал</w:t>
      </w:r>
    </w:p>
    <w:p>
      <w:pPr>
        <w:widowControl/>
      </w:pPr>
      <w:r>
        <w:t>Ранжирование проводится равным голосом участников после публикации экспертизы и обсуждения. Оно измеряет готовность вынести вопрос на финальное решение, а не окончательное согласие с ним.</w:t>
      </w:r>
    </w:p>
    <w:p>
      <w:pPr>
        <w:widowControl/>
      </w:pPr>
      <w:r>
        <w:t>Для уменьшения преимущества одного крупного ресурса национальная модель может ограничить число поддержек или рангов, которые один гражданин распределяет на этой стадии. Такое правило должно быть простым, одинаковым и проверенным пилотом.</w:t>
      </w:r>
    </w:p>
    <w:p>
      <w:pPr>
        <w:widowControl/>
      </w:pPr>
      <w:r>
        <w:t>Запрещается:</w:t>
      </w:r>
    </w:p>
    <w:p>
      <w:pPr>
        <w:pStyle w:val="ListBullet"/>
        <w:keepLines/>
        <w:widowControl/>
      </w:pPr>
      <w:r>
        <w:t>пересчитывать поддержку по экспертному коэффициенту;</w:t>
      </w:r>
    </w:p>
    <w:p>
      <w:pPr>
        <w:pStyle w:val="ListBullet"/>
        <w:keepLines/>
        <w:widowControl/>
      </w:pPr>
      <w:r>
        <w:t>увеличивать вес региона или группы без конституционного основания;</w:t>
      </w:r>
    </w:p>
    <w:p>
      <w:pPr>
        <w:pStyle w:val="ListBullet"/>
        <w:keepLines/>
        <w:widowControl/>
      </w:pPr>
      <w:r>
        <w:t>объединять несовместимые инициативы в один рейтинг;</w:t>
      </w:r>
    </w:p>
    <w:p>
      <w:pPr>
        <w:pStyle w:val="ListBullet"/>
        <w:keepLines/>
        <w:widowControl/>
      </w:pPr>
      <w:r>
        <w:t>изменять порядок после получения промежуточных результатов;</w:t>
      </w:r>
    </w:p>
    <w:p>
      <w:pPr>
        <w:pStyle w:val="ListBullet"/>
        <w:keepLines/>
        <w:widowControl/>
      </w:pPr>
      <w:r>
        <w:t>использовать скрытые алгоритмические рекомендации.</w:t>
      </w:r>
    </w:p>
    <w:p>
      <w:pPr>
        <w:pStyle w:val="Heading2"/>
        <w:keepNext/>
        <w:widowControl/>
      </w:pPr>
      <w:r>
        <w:t>6. Проверяемый случайный канал</w:t>
      </w:r>
    </w:p>
    <w:p>
      <w:pPr>
        <w:widowControl/>
      </w:pPr>
      <w:r>
        <w:t>Случайный канал применяет правило «один тематико-целевой кластер — один шанс». Связанные кампании, заказчики, финансирование и координация агрегируются. Машинная кластеризация не принимает окончательного решения; публикуются признаки, версии и мотивировка, доступная для ускоренного обжалования.</w:t>
      </w:r>
    </w:p>
    <w:p>
      <w:pPr>
        <w:pStyle w:val="Heading2"/>
        <w:keepNext/>
        <w:widowControl/>
      </w:pPr>
      <w:r>
        <w:t>7. Защищённый канал</w:t>
      </w:r>
    </w:p>
    <w:p>
      <w:pPr>
        <w:widowControl/>
      </w:pPr>
      <w:r>
        <w:t>Защищённый канал открывается при доказанном воздействии на защищённое право либо структурном барьере массовой поддержки, а не после признания государством политической идентичности группы. Постоянный реестр принадлежности лиц к группе не создаётся.</w:t>
      </w:r>
    </w:p>
    <w:p>
      <w:pPr>
        <w:widowControl/>
      </w:pPr>
      <w:r>
        <w:t>Решение принимает временная разнородная панель с конфиденциальным рассмотрением чувствительных доказательств, публикацией критериев воздействия, представлением конкурирующих позиций и быстрым судебным контролем. Внутри пула действует жеребьёвка.</w:t>
      </w:r>
    </w:p>
    <w:p>
      <w:pPr>
        <w:pStyle w:val="Heading2"/>
        <w:keepNext/>
        <w:widowControl/>
      </w:pPr>
      <w:r>
        <w:t>8. Тематическая концентрация и альтернативы</w:t>
      </w:r>
    </w:p>
    <w:p>
      <w:pPr>
        <w:widowControl/>
      </w:pPr>
      <w:r>
        <w:t>Если множество инициатив относятся к одной проблеме, они не могут искусственно вытеснить все остальные темы через клонирование. Применяется правило альтернативного блока:</w:t>
      </w:r>
    </w:p>
    <w:p>
      <w:pPr>
        <w:pStyle w:val="ListBullet"/>
        <w:keepLines/>
        <w:widowControl/>
      </w:pPr>
      <w:r>
        <w:t>тождественные тексты кластеризуются;</w:t>
      </w:r>
    </w:p>
    <w:p>
      <w:pPr>
        <w:pStyle w:val="ListBullet"/>
        <w:keepLines/>
        <w:widowControl/>
      </w:pPr>
      <w:r>
        <w:t>существенно разные способы сохраняются как альтернативы;</w:t>
      </w:r>
    </w:p>
    <w:p>
      <w:pPr>
        <w:pStyle w:val="ListBullet"/>
        <w:keepLines/>
        <w:widowControl/>
      </w:pPr>
      <w:r>
        <w:t>граждане сначала определяют, должен ли блок войти в перечень;</w:t>
      </w:r>
    </w:p>
    <w:p>
      <w:pPr>
        <w:pStyle w:val="ListBullet"/>
        <w:keepLines/>
        <w:widowControl/>
      </w:pPr>
      <w:r>
        <w:t>затем выбирают одну или несколько совместимых формулировок по заранее установленному правилу.</w:t>
      </w:r>
    </w:p>
    <w:p>
      <w:pPr>
        <w:widowControl/>
      </w:pPr>
      <w:r>
        <w:t>Тематические ограничения не могут устанавливаться задним числом или использоваться против неудобной сферы. Методика должна быть предметно нейтральной и обжаловаться до отбора.</w:t>
      </w:r>
    </w:p>
    <w:p>
      <w:pPr>
        <w:pStyle w:val="Heading2"/>
        <w:keepNext/>
        <w:widowControl/>
      </w:pPr>
      <w:r>
        <w:t>9. Финансово несовместимые инициативы</w:t>
      </w:r>
    </w:p>
    <w:p>
      <w:pPr>
        <w:widowControl/>
      </w:pPr>
      <w:r>
        <w:t>Финансовая несовместимость не исключает вопрос из квалифицированного пула. Если одновременно реализовать все инициативы невозможно, материалы содержат:</w:t>
      </w:r>
    </w:p>
    <w:p>
      <w:pPr>
        <w:pStyle w:val="ListBullet"/>
        <w:keepLines/>
        <w:widowControl/>
      </w:pPr>
      <w:r>
        <w:t>совместимые комбинации;</w:t>
      </w:r>
    </w:p>
    <w:p>
      <w:pPr>
        <w:pStyle w:val="ListBullet"/>
        <w:keepLines/>
        <w:widowControl/>
      </w:pPr>
      <w:r>
        <w:t>альтернативные источники;</w:t>
      </w:r>
    </w:p>
    <w:p>
      <w:pPr>
        <w:pStyle w:val="ListBullet"/>
        <w:keepLines/>
        <w:widowControl/>
      </w:pPr>
      <w:r>
        <w:t>вытесняемые расходы;</w:t>
      </w:r>
    </w:p>
    <w:p>
      <w:pPr>
        <w:pStyle w:val="ListBullet"/>
        <w:keepLines/>
        <w:widowControl/>
      </w:pPr>
      <w:r>
        <w:t>порядок приоритетности;</w:t>
      </w:r>
    </w:p>
    <w:p>
      <w:pPr>
        <w:pStyle w:val="ListBullet"/>
        <w:keepLines/>
        <w:widowControl/>
      </w:pPr>
      <w:r>
        <w:t>возможность поэтапности;</w:t>
      </w:r>
    </w:p>
    <w:p>
      <w:pPr>
        <w:pStyle w:val="ListBullet"/>
        <w:keepLines/>
        <w:widowControl/>
      </w:pPr>
      <w:r>
        <w:t>последствия выбора каждой комбинации.</w:t>
      </w:r>
    </w:p>
    <w:p>
      <w:pPr>
        <w:widowControl/>
      </w:pPr>
      <w:r>
        <w:t>На предварительной либо финальной стадии гражданам может быть предложено ранжирование взаимоисключающих вариантов. Нельзя создавать искусственную несовместимость добавлением зависимых пунктов или произвольным сужением бюджетного контура.</w:t>
      </w:r>
    </w:p>
    <w:p>
      <w:pPr>
        <w:pStyle w:val="Heading3"/>
        <w:keepNext/>
        <w:widowControl/>
      </w:pPr>
      <w:r>
        <w:t>9.1. Обязательная карта конфликтов</w:t>
      </w:r>
    </w:p>
    <w:p>
      <w:pPr>
        <w:widowControl/>
      </w:pPr>
      <w:r>
        <w:t>До финального голосования публикуется карта логической, правовой, компетенционной и бюджетной несовместимости. Взаимоисключающие пункты образуют конфликтную группу и не могут одновременно включаться в знаменатель минимального принятия кандидатами.</w:t>
      </w:r>
    </w:p>
    <w:p>
      <w:pPr>
        <w:widowControl/>
      </w:pPr>
      <w:r>
        <w:t>Способ политического разрешения конфликта объявляется заранее: ранжирование, выбор одной альтернативы или совместимый бюджетный пакет. Технический орган применяет формулу и не выбирает приоритет.</w:t>
      </w:r>
    </w:p>
    <w:p>
      <w:pPr>
        <w:pStyle w:val="Heading2"/>
        <w:keepNext/>
        <w:widowControl/>
      </w:pPr>
      <w:r>
        <w:t>10. Авторство решений и отсутствие скрытого органа</w:t>
      </w:r>
    </w:p>
    <w:p>
      <w:pPr>
        <w:widowControl/>
      </w:pPr>
      <w:r>
        <w:t>Процессный оператор выполняет расчёт и жеребьёвку по опубликованным правилам, но не выбирает содержание. Юридическая панель решает только допустимость. Эксперты раскрывают последствия. Гражданская панель представляет анализ разногласий. Ни один из этих субъектов не вправе перераспределять места по общему усмотрению.</w:t>
      </w:r>
    </w:p>
    <w:p>
      <w:pPr>
        <w:widowControl/>
      </w:pPr>
      <w:r>
        <w:t>Каждое исключение из пула, изменение статуса, объединение блока и результат жеребьёвки имеют отдельный акт, автора, данные и возможность проверки.</w:t>
      </w:r>
    </w:p>
    <w:p>
      <w:pPr>
        <w:pStyle w:val="Heading2"/>
        <w:keepNext/>
        <w:widowControl/>
      </w:pPr>
      <w:r>
        <w:t>11. Единое окно обжалования</w:t>
      </w:r>
    </w:p>
    <w:p>
      <w:pPr>
        <w:widowControl/>
      </w:pPr>
      <w:r>
        <w:t>До утверждения финального перечня устанавливается единый срок для споров о:</w:t>
      </w:r>
    </w:p>
    <w:p>
      <w:pPr>
        <w:pStyle w:val="ListBullet"/>
        <w:keepLines/>
        <w:widowControl/>
      </w:pPr>
      <w:r>
        <w:t>составе квалифицированного пула;</w:t>
      </w:r>
    </w:p>
    <w:p>
      <w:pPr>
        <w:pStyle w:val="ListBullet"/>
        <w:keepLines/>
        <w:widowControl/>
      </w:pPr>
      <w:r>
        <w:t>подсчёте поддержки;</w:t>
      </w:r>
    </w:p>
    <w:p>
      <w:pPr>
        <w:pStyle w:val="ListBullet"/>
        <w:keepLines/>
        <w:widowControl/>
      </w:pPr>
      <w:r>
        <w:t>статусе защищённого рассмотрения;</w:t>
      </w:r>
    </w:p>
    <w:p>
      <w:pPr>
        <w:pStyle w:val="ListBullet"/>
        <w:keepLines/>
        <w:widowControl/>
      </w:pPr>
      <w:r>
        <w:t>кластеризации;</w:t>
      </w:r>
    </w:p>
    <w:p>
      <w:pPr>
        <w:pStyle w:val="ListBullet"/>
        <w:keepLines/>
        <w:widowControl/>
      </w:pPr>
      <w:r>
        <w:t>компетенции;</w:t>
      </w:r>
    </w:p>
    <w:p>
      <w:pPr>
        <w:pStyle w:val="ListBullet"/>
        <w:keepLines/>
        <w:widowControl/>
      </w:pPr>
      <w:r>
        <w:t>правовой допустимости;</w:t>
      </w:r>
    </w:p>
    <w:p>
      <w:pPr>
        <w:pStyle w:val="ListBullet"/>
        <w:keepLines/>
        <w:widowControl/>
      </w:pPr>
      <w:r>
        <w:t>алгоритме и результате жеребьёвки;</w:t>
      </w:r>
    </w:p>
    <w:p>
      <w:pPr>
        <w:pStyle w:val="ListBullet"/>
        <w:keepLines/>
        <w:widowControl/>
      </w:pPr>
      <w:r>
        <w:t>применении тематического или финансового правила.</w:t>
      </w:r>
    </w:p>
    <w:p>
      <w:pPr>
        <w:widowControl/>
      </w:pPr>
      <w:r>
        <w:t>Жалобы консолидируются. Суд или иной независимый орган не пересматривает политическую ценность, а проверяет соблюдение заранее установленных правил. После окончания срока спор допускается только при доказанном мошенничестве или факте, который объективно не мог быть известен раньше.</w:t>
      </w:r>
    </w:p>
    <w:p>
      <w:pPr>
        <w:widowControl/>
      </w:pPr>
      <w:r>
        <w:t>Единое окно обеспечивает минимальный срок подготовки, доступ к материалам, индивидуальное особое требование и приостанавливающую защиту при необратимом вреде. Секретный материал проверяет независимый допущенный защитник.</w:t>
      </w:r>
    </w:p>
    <w:p>
      <w:pPr>
        <w:pStyle w:val="Heading2"/>
        <w:keepNext/>
        <w:widowControl/>
      </w:pPr>
      <w:r>
        <w:t>12. Отказ выбранной инициативы и резерв</w:t>
      </w:r>
    </w:p>
    <w:p>
      <w:pPr>
        <w:widowControl/>
      </w:pPr>
      <w:r>
        <w:t>Если инициатор отказывается от дальнейшего участия, исходная инициатива не исчезает автоматически. Поддержавшие граждане либо коллегия представителей могут подтвердить нового представителя. При невозможности продолжения применяется заранее установленный резерв того же канала отбора.</w:t>
      </w:r>
    </w:p>
    <w:p>
      <w:pPr>
        <w:widowControl/>
      </w:pPr>
      <w:r>
        <w:t>Замена не позволяет оператору выбрать политически похожий, но иной вопрос по собственному усмотрению. Резерв формируется одновременно с основным результатом.</w:t>
      </w:r>
    </w:p>
    <w:p>
      <w:pPr>
        <w:pStyle w:val="Heading2"/>
        <w:keepNext/>
        <w:widowControl/>
      </w:pPr>
      <w:r>
        <w:t>13. Публичный протокол отбора</w:t>
      </w:r>
    </w:p>
    <w:p>
      <w:pPr>
        <w:widowControl/>
      </w:pPr>
      <w:r>
        <w:t>Публикуются:</w:t>
      </w:r>
    </w:p>
    <w:p>
      <w:pPr>
        <w:pStyle w:val="ListBullet"/>
        <w:keepLines/>
        <w:widowControl/>
      </w:pPr>
      <w:r>
        <w:t>полный квалифицированный пул;</w:t>
      </w:r>
    </w:p>
    <w:p>
      <w:pPr>
        <w:pStyle w:val="ListBullet"/>
        <w:keepLines/>
        <w:widowControl/>
      </w:pPr>
      <w:r>
        <w:t>основания и документы по каждой инициативе;</w:t>
      </w:r>
    </w:p>
    <w:p>
      <w:pPr>
        <w:pStyle w:val="ListBullet"/>
        <w:keepLines/>
        <w:widowControl/>
      </w:pPr>
      <w:r>
        <w:t>число и доля поддержки;</w:t>
      </w:r>
    </w:p>
    <w:p>
      <w:pPr>
        <w:pStyle w:val="ListBullet"/>
        <w:keepLines/>
        <w:widowControl/>
      </w:pPr>
      <w:r>
        <w:t>канал включения;</w:t>
      </w:r>
    </w:p>
    <w:p>
      <w:pPr>
        <w:pStyle w:val="ListBullet"/>
        <w:keepLines/>
        <w:widowControl/>
      </w:pPr>
      <w:r>
        <w:t>алгоритм ранжирования и жеребьёвки;</w:t>
      </w:r>
    </w:p>
    <w:p>
      <w:pPr>
        <w:pStyle w:val="ListBullet"/>
        <w:keepLines/>
        <w:widowControl/>
      </w:pPr>
      <w:r>
        <w:t>начальные значения и доказательство воспроизводимости;</w:t>
      </w:r>
    </w:p>
    <w:p>
      <w:pPr>
        <w:pStyle w:val="ListBullet"/>
        <w:keepLines/>
        <w:widowControl/>
      </w:pPr>
      <w:r>
        <w:t>результаты всех жалоб;</w:t>
      </w:r>
    </w:p>
    <w:p>
      <w:pPr>
        <w:pStyle w:val="ListBullet"/>
        <w:keepLines/>
        <w:widowControl/>
      </w:pPr>
      <w:r>
        <w:t>резервный список;</w:t>
      </w:r>
    </w:p>
    <w:p>
      <w:pPr>
        <w:pStyle w:val="ListBullet"/>
        <w:keepLines/>
        <w:widowControl/>
      </w:pPr>
      <w:r>
        <w:t>показатели территориальной и социальной доступности;</w:t>
      </w:r>
    </w:p>
    <w:p>
      <w:pPr>
        <w:pStyle w:val="ListBullet"/>
        <w:keepLines/>
        <w:widowControl/>
      </w:pPr>
      <w:r>
        <w:t>ограничения репрезентативности.</w:t>
      </w:r>
    </w:p>
    <w:p>
      <w:pPr>
        <w:widowControl/>
      </w:pPr>
      <w:r>
        <w:t>Официальный интерфейс не скрывает непрошедшие инициативы. Они сохраняются в архиве и могут участвовать в новом цикле без автоматического переноса старой поддержки.</w:t>
      </w:r>
    </w:p>
    <w:p>
      <w:pPr>
        <w:pStyle w:val="Heading2"/>
        <w:keepNext/>
        <w:widowControl/>
      </w:pPr>
      <w:r>
        <w:t>14. Чрезвычайные случаи</w:t>
      </w:r>
    </w:p>
    <w:p>
      <w:pPr>
        <w:widowControl/>
      </w:pPr>
      <w:r>
        <w:t>Киберинцидент, административная ошибка или чрезвычайное обстоятельство обрабатываются по заранее установленной матрице. Один субъект не может единолично отменить неудобный результат. При невозможности доказать цифровой расчёт используется независимый источник истины, предусмотренный технической архитектурой, либо стадия повторяется.</w:t>
      </w:r>
    </w:p>
    <w:p>
      <w:pPr>
        <w:widowControl/>
      </w:pPr>
      <w:r>
        <w:t>Перенос срока применяется ко всем инициативам одного положения одинаково. Исключение отдельной темы под видом чрезвычайности требует конкретного правового основания и независимого контроля.</w:t>
      </w:r>
    </w:p>
    <w:p>
      <w:pPr>
        <w:widowControl/>
      </w:pPr>
      <w:r>
        <w:t>Официальная повестка не является исключительной. Отобранный перечень не ограничивает кандидатов, партии, медиа и граждан в постановке иных тем; государственное финансирование ограничивается нейтральным информированием о процедуре.</w:t>
      </w:r>
    </w:p>
    <w:p>
      <w:pPr>
        <w:pStyle w:val="Heading2"/>
        <w:keepNext/>
        <w:widowControl/>
      </w:pPr>
      <w:r>
        <w:t>15. Ответственность</w:t>
      </w:r>
    </w:p>
    <w:p>
      <w:pPr>
        <w:widowControl/>
      </w:pPr>
      <w:r>
        <w:t>Ответственность наступает за изменение пула после закрытия, фальсификацию жеребьёвки, скрытое изменение алгоритма, перенос поддержки, создание искусственной несовместимости, уничтожение данных и политическое вмешательство оператора. Добросовестная техническая ошибка исправляется с полным журналом и не скрывается.</w:t>
      </w:r>
    </w:p>
    <w:p>
      <w:pPr>
        <w:pStyle w:val="Heading2"/>
        <w:keepNext/>
        <w:widowControl/>
      </w:pPr>
      <w:r>
        <w:t>16. Встроенный ответ на сильнейшие возражения</w:t>
      </w:r>
    </w:p>
    <w:p>
      <w:pPr>
        <w:widowControl/>
      </w:pPr>
      <w:r>
        <w:t>Ни один механизм ограничения числа вопросов не является полностью нейтральным. Чистый рейтинг усиливает деньги и мобилизацию; чистая лотерея ослабляет связь с поддержкой; экспертный предварительный список концентрирует власть. Комбинированная модель распределяет эти риски, делает правила видимыми и не позволяет одному субъекту контролировать весь перечень.</w:t>
      </w:r>
    </w:p>
    <w:p>
      <w:pPr>
        <w:widowControl/>
      </w:pPr>
      <w:r>
        <w:t>Остаточный риск выбора параметров сохраняется. Поэтому лимиты и доли являются национальными параметрами, принимаются заранее, тестируются на прошлых данных и не могут меняться под конкретный цикл.</w:t>
      </w:r>
    </w:p>
    <w:p>
      <w:pPr>
        <w:pStyle w:val="Heading2"/>
        <w:keepNext/>
        <w:widowControl/>
      </w:pPr>
      <w:r>
        <w:t>17. Связь с другими главами и вывод</w:t>
      </w:r>
    </w:p>
    <w:p>
      <w:pPr>
        <w:widowControl/>
      </w:pPr>
      <w:r>
        <w:t>Глава завершает подготовительную часть и связана с финальным голосованием главы XVIII, общественным мандатом главы XIX, декларациями кандидатов и системой официального информирования.</w:t>
      </w:r>
    </w:p>
    <w:p>
      <w:pPr>
        <w:pStyle w:val="DoctrineQuote"/>
        <w:keepLines/>
        <w:widowControl/>
      </w:pPr>
      <w:r>
        <w:t>Финальный перечень легитимен не потому, что его составила безошибочная комиссия, а потому, что все инициативы прошли равные правила, граждане сделали основной выбор, случайность ограничила концентрацию ресурсов, а каждое исключение осталось проверяемым.</w:t>
      </w:r>
    </w:p>
    <w:p>
      <w:pPr>
        <w:pStyle w:val="Heading1"/>
        <w:keepNext/>
        <w:keepLines/>
        <w:pageBreakBefore/>
        <w:widowControl/>
        <w:spacing w:before="0" w:after="160"/>
        <w:pBdr>
          <w:bottom w:val="single" w:sz="5" w:space="4" w:color="B4C6E7"/>
        </w:pBdr>
      </w:pPr>
      <w:r>
        <w:rPr>
          <w:rFonts w:ascii="Carlito" w:hAnsi="Carlito" w:eastAsia="Carlito"/>
        </w:rPr>
        <w:t xml:space="preserve">Глава XVIII. Финальное голосование и утверждение общественного поручения</w:t>
      </w:r>
    </w:p>
    <w:bookmarkStart w:id="29" w:name="Xc48918f66d515ba7acd350cf9f28dfdd7b36187"/>
    <w:p>
      <w:pPr>
        <w:pStyle w:val="Heading2"/>
        <w:keepNext/>
        <w:keepLines/>
        <w:widowControl/>
      </w:pPr>
      <w:r>
        <w:rPr>
          <w:rFonts w:ascii="Carlito" w:hAnsi="Carlito" w:eastAsia="Carlito"/>
        </w:rPr>
        <w:t xml:space="preserve">1. Предмет и цель главы</w:t>
      </w:r>
    </w:p>
    <w:p>
      <w:pPr>
        <w:pStyle w:val="FirstParagraph"/>
        <w:widowControl/>
      </w:pPr>
      <w:r>
        <w:rPr>
          <w:rFonts w:ascii="Carlito" w:hAnsi="Carlito" w:eastAsia="Carlito"/>
        </w:rPr>
        <w:t xml:space="preserve">Настоящая глава определяет порядок окончательного гражданского волеизъявления по инициативам, вошедшим в финальный перечень, условия утверждения отдельных пунктов, правила подсчёта, аудита, обжалования и сертификации, а также момент завершения формирования общественного поручения.</w:t>
      </w:r>
    </w:p>
    <w:p>
      <w:pPr>
        <w:widowControl/>
      </w:pPr>
      <w:r>
        <w:rPr>
          <w:rFonts w:ascii="Carlito" w:hAnsi="Carlito" w:eastAsia="Carlito"/>
        </w:rPr>
        <w:t xml:space="preserve">Цель главы — обеспечить самостоятельность общественного выбора, равенство участников, понятность каждого вопроса, устойчивость результата и заранее определённый правовой эффект без подмены выборов, закона, бюджета или референдума.</w:t>
      </w:r>
    </w:p>
    <w:p>
      <w:pPr>
        <w:pStyle w:val="DoctrineQuote"/>
        <w:widowControl/>
      </w:pPr>
      <w:r>
        <w:rPr>
          <w:rFonts w:ascii="Carlito" w:hAnsi="Carlito" w:eastAsia="Carlito"/>
          <w:bCs/>
          <w:i/>
        </w:rPr>
        <w:t xml:space="preserve">Граждане голосуют не за кандидата и не за способ управления каждым ведомством. Они отдельно утверждают ограниченный перечень целей, по которым кандидаты обязаны занять публичную позицию.</w:t>
      </w:r>
    </w:p>
    <w:bookmarkEnd w:id="29"/>
    <w:bookmarkStart w:id="30" w:name="X9885400843f03a8105dcd2c87d3c9af0097ebb6"/>
    <w:p>
      <w:pPr>
        <w:pStyle w:val="Heading2"/>
        <w:keepNext/>
        <w:keepLines/>
        <w:widowControl/>
      </w:pPr>
      <w:r>
        <w:rPr>
          <w:rFonts w:ascii="Carlito" w:hAnsi="Carlito" w:eastAsia="Carlito"/>
        </w:rPr>
        <w:t xml:space="preserve">2. Правовая функция финального голосования</w:t>
      </w:r>
    </w:p>
    <w:p>
      <w:pPr>
        <w:pStyle w:val="FirstParagraph"/>
        <w:widowControl/>
      </w:pPr>
      <w:r>
        <w:rPr>
          <w:rFonts w:ascii="Carlito" w:hAnsi="Carlito" w:eastAsia="Carlito"/>
        </w:rPr>
        <w:t xml:space="preserve">Финальное голосование является официальной политико-процедурной формой участия граждан. Его функция состоит в том, чтобы преобразовать квалифицированные инициативы в утверждённые пункты общественного поручения и запустить предусмотренный законом кандидатский и послевыборный цикл.</w:t>
      </w:r>
    </w:p>
    <w:p>
      <w:pPr>
        <w:keepNext/>
        <w:widowControl/>
      </w:pPr>
      <w:r>
        <w:rPr>
          <w:rFonts w:ascii="Carlito" w:hAnsi="Carlito" w:eastAsia="Carlito"/>
        </w:rPr>
        <w:t xml:space="preserve">Финальное голосование само по себе не:</w:t>
      </w:r>
    </w:p>
    <w:p>
      <w:pPr>
        <w:pStyle w:val="ListBullet"/>
        <w:widowControl/>
        <w:numPr>
          <w:ilvl w:val="0"/>
          <w:numId w:val="1003"/>
        </w:numPr>
        <w:spacing w:after="70"/>
      </w:pPr>
      <w:r>
        <w:rPr>
          <w:rFonts w:ascii="Carlito" w:hAnsi="Carlito" w:eastAsia="Carlito"/>
        </w:rPr>
        <w:t xml:space="preserve">принимает закон, бюджет или конституционную поправку;</w:t>
      </w:r>
    </w:p>
    <w:p>
      <w:pPr>
        <w:pStyle w:val="ListBullet"/>
        <w:widowControl/>
        <w:numPr>
          <w:ilvl w:val="0"/>
          <w:numId w:val="1003"/>
        </w:numPr>
        <w:spacing w:after="70"/>
      </w:pPr>
      <w:r>
        <w:rPr>
          <w:rFonts w:ascii="Carlito" w:hAnsi="Carlito" w:eastAsia="Carlito"/>
        </w:rPr>
        <w:t xml:space="preserve">расширяет компетенцию кандидата, правительства, парламента, суда, региона или муниципалитета;</w:t>
      </w:r>
    </w:p>
    <w:p>
      <w:pPr>
        <w:pStyle w:val="ListBullet"/>
        <w:widowControl/>
        <w:numPr>
          <w:ilvl w:val="0"/>
          <w:numId w:val="1003"/>
        </w:numPr>
        <w:spacing w:after="70"/>
      </w:pPr>
      <w:r>
        <w:rPr>
          <w:rFonts w:ascii="Carlito" w:hAnsi="Carlito" w:eastAsia="Carlito"/>
        </w:rPr>
        <w:t xml:space="preserve">создаёт расходное обязательство без предусмотренного бюджетного решения;</w:t>
      </w:r>
    </w:p>
    <w:p>
      <w:pPr>
        <w:pStyle w:val="ListBullet"/>
        <w:widowControl/>
        <w:numPr>
          <w:ilvl w:val="0"/>
          <w:numId w:val="1003"/>
        </w:numPr>
        <w:spacing w:after="70"/>
      </w:pPr>
      <w:r>
        <w:rPr>
          <w:rFonts w:ascii="Carlito" w:hAnsi="Carlito" w:eastAsia="Carlito"/>
        </w:rPr>
        <w:t xml:space="preserve">устанавливает индивидуальную виновность, наказание или ограничение основного права;</w:t>
      </w:r>
    </w:p>
    <w:p>
      <w:pPr>
        <w:pStyle w:val="ListBullet"/>
        <w:widowControl/>
        <w:numPr>
          <w:ilvl w:val="0"/>
          <w:numId w:val="1003"/>
        </w:numPr>
        <w:spacing w:after="70"/>
      </w:pPr>
      <w:r>
        <w:rPr>
          <w:rFonts w:ascii="Carlito" w:hAnsi="Carlito" w:eastAsia="Carlito"/>
        </w:rPr>
        <w:t xml:space="preserve">обязывает депутата голосовать определённым образом;</w:t>
      </w:r>
    </w:p>
    <w:p>
      <w:pPr>
        <w:pStyle w:val="ListBullet"/>
        <w:widowControl/>
        <w:numPr>
          <w:ilvl w:val="0"/>
          <w:numId w:val="1003"/>
        </w:numPr>
        <w:spacing w:after="70"/>
      </w:pPr>
      <w:r>
        <w:rPr>
          <w:rFonts w:ascii="Carlito" w:hAnsi="Carlito" w:eastAsia="Carlito"/>
        </w:rPr>
        <w:t xml:space="preserve">доказывает согласие каждого гражданина с каждым утверждённым пунктом.</w:t>
      </w:r>
    </w:p>
    <w:p>
      <w:pPr>
        <w:pStyle w:val="FirstParagraph"/>
        <w:widowControl/>
      </w:pPr>
      <w:r>
        <w:rPr>
          <w:rFonts w:ascii="Carlito" w:hAnsi="Carlito" w:eastAsia="Carlito"/>
        </w:rPr>
        <w:t xml:space="preserve">После сертификации результат имеет обязательные последствия, прямо перечисленные в главах V, XIX–XXV: формирование официального общественного мандата, передача единого текста кандидатам, публикация деклараций, а после избрания — реестр, планирование, данные, объяснение изменений и мониторинг в пределах собственной компетенции победителя.</w:t>
      </w:r>
    </w:p>
    <w:bookmarkEnd w:id="30"/>
    <w:bookmarkStart w:id="31" w:name="X035011b4653e49c11b7f2997966d104a9140875"/>
    <w:p>
      <w:pPr>
        <w:pStyle w:val="Heading2"/>
        <w:keepNext/>
        <w:keepLines/>
        <w:widowControl/>
      </w:pPr>
      <w:r>
        <w:rPr>
          <w:rFonts w:ascii="Carlito" w:hAnsi="Carlito" w:eastAsia="Carlito"/>
        </w:rPr>
        <w:t xml:space="preserve">3. Заранее объявленный статус</w:t>
      </w:r>
    </w:p>
    <w:p>
      <w:pPr>
        <w:pStyle w:val="FirstParagraph"/>
        <w:widowControl/>
      </w:pPr>
      <w:r>
        <w:rPr>
          <w:rFonts w:ascii="Carlito" w:hAnsi="Carlito" w:eastAsia="Carlito"/>
        </w:rPr>
        <w:t xml:space="preserve">Правовой статус голосования, критерии утверждения, сроки, полномочия органов, источник истины, способы обжалования и последствия результата устанавливаются до начала сбора инициатив и не могут изменяться применительно к конкретному пункту или политической конъюнктуре.</w:t>
      </w:r>
    </w:p>
    <w:p>
      <w:pPr>
        <w:keepNext/>
        <w:widowControl/>
      </w:pPr>
      <w:r>
        <w:rPr>
          <w:rFonts w:ascii="Carlito" w:hAnsi="Carlito" w:eastAsia="Carlito"/>
        </w:rPr>
        <w:t xml:space="preserve">После получения результата запрещается:</w:t>
      </w:r>
    </w:p>
    <w:p>
      <w:pPr>
        <w:pStyle w:val="ListBullet"/>
        <w:widowControl/>
        <w:numPr>
          <w:ilvl w:val="0"/>
          <w:numId w:val="1004"/>
        </w:numPr>
        <w:spacing w:after="70"/>
      </w:pPr>
      <w:r>
        <w:rPr>
          <w:rFonts w:ascii="Carlito" w:hAnsi="Carlito" w:eastAsia="Carlito"/>
        </w:rPr>
        <w:t xml:space="preserve">объявлять консультативное голосование обязательным;</w:t>
      </w:r>
    </w:p>
    <w:p>
      <w:pPr>
        <w:pStyle w:val="ListBullet"/>
        <w:widowControl/>
        <w:numPr>
          <w:ilvl w:val="0"/>
          <w:numId w:val="1004"/>
        </w:numPr>
        <w:spacing w:after="70"/>
      </w:pPr>
      <w:r>
        <w:rPr>
          <w:rFonts w:ascii="Carlito" w:hAnsi="Carlito" w:eastAsia="Carlito"/>
        </w:rPr>
        <w:t xml:space="preserve">понижать официальный статус неудобного результата;</w:t>
      </w:r>
    </w:p>
    <w:p>
      <w:pPr>
        <w:pStyle w:val="ListBullet"/>
        <w:widowControl/>
        <w:numPr>
          <w:ilvl w:val="0"/>
          <w:numId w:val="1004"/>
        </w:numPr>
        <w:spacing w:after="70"/>
      </w:pPr>
      <w:r>
        <w:rPr>
          <w:rFonts w:ascii="Carlito" w:hAnsi="Carlito" w:eastAsia="Carlito"/>
        </w:rPr>
        <w:t xml:space="preserve">вводить новый порог или дополнительное условие сертификации;</w:t>
      </w:r>
    </w:p>
    <w:p>
      <w:pPr>
        <w:pStyle w:val="ListBullet"/>
        <w:widowControl/>
        <w:numPr>
          <w:ilvl w:val="0"/>
          <w:numId w:val="1004"/>
        </w:numPr>
        <w:spacing w:after="70"/>
      </w:pPr>
      <w:r>
        <w:rPr>
          <w:rFonts w:ascii="Carlito" w:hAnsi="Carlito" w:eastAsia="Carlito"/>
        </w:rPr>
        <w:t xml:space="preserve">изменять способ учёта воздержавшихся;</w:t>
      </w:r>
    </w:p>
    <w:p>
      <w:pPr>
        <w:pStyle w:val="ListBullet"/>
        <w:widowControl/>
        <w:numPr>
          <w:ilvl w:val="0"/>
          <w:numId w:val="1004"/>
        </w:numPr>
        <w:spacing w:after="70"/>
      </w:pPr>
      <w:r>
        <w:rPr>
          <w:rFonts w:ascii="Carlito" w:hAnsi="Carlito" w:eastAsia="Carlito"/>
        </w:rPr>
        <w:t xml:space="preserve">переквалифицировать вопрос в референдумный либо лишать отдельно проведённый референдум предусмотренной законом силы;</w:t>
      </w:r>
    </w:p>
    <w:p>
      <w:pPr>
        <w:pStyle w:val="ListBullet"/>
        <w:widowControl/>
        <w:numPr>
          <w:ilvl w:val="0"/>
          <w:numId w:val="1004"/>
        </w:numPr>
        <w:spacing w:after="70"/>
      </w:pPr>
      <w:r>
        <w:rPr>
          <w:rFonts w:ascii="Carlito" w:hAnsi="Carlito" w:eastAsia="Carlito"/>
        </w:rPr>
        <w:t xml:space="preserve">ссылаться на неопределённую политическую целесообразность как основание не устанавливать итог.</w:t>
      </w:r>
    </w:p>
    <w:bookmarkEnd w:id="31"/>
    <w:bookmarkStart w:id="32" w:name="X7b6b11ebe1e1e562e393c0365824893bce2946d"/>
    <w:p>
      <w:pPr>
        <w:widowControl/>
      </w:pPr>
      <w:r>
        <w:t>Статус финального результата определяется автоматической матрицей легитимности. Поддержанная инициатива, утверждённый общественный приоритет и утверждённый пункт общественного поручения имеют различные последствия; повышение статуса после подсчёта политическим решением запрещено.</w:t>
      </w:r>
    </w:p>
    <w:p>
      <w:pPr>
        <w:pStyle w:val="Heading2"/>
        <w:keepNext/>
        <w:keepLines/>
        <w:widowControl/>
      </w:pPr>
      <w:r>
        <w:rPr>
          <w:rFonts w:ascii="Carlito" w:hAnsi="Carlito" w:eastAsia="Carlito"/>
        </w:rPr>
        <w:t xml:space="preserve">4. Отделение от выборов кандидата</w:t>
      </w:r>
    </w:p>
    <w:p>
      <w:pPr>
        <w:pStyle w:val="FirstParagraph"/>
        <w:widowControl/>
      </w:pPr>
      <w:r>
        <w:rPr>
          <w:rFonts w:ascii="Carlito" w:hAnsi="Carlito" w:eastAsia="Carlito"/>
        </w:rPr>
        <w:t xml:space="preserve">Финальное голосование проводится и сертифицируется до окончания срока представления деклараций кандидатов. Между сертификацией мандата и обязательным раскрытием кандидатских позиций должен существовать достаточный период для анализа, подготовки ответа, исправления технических ошибок, публичного сравнения и обжалования.</w:t>
      </w:r>
    </w:p>
    <w:p>
      <w:pPr>
        <w:keepNext/>
        <w:widowControl/>
      </w:pPr>
      <w:r>
        <w:rPr>
          <w:rFonts w:ascii="Carlito" w:hAnsi="Carlito" w:eastAsia="Carlito"/>
        </w:rPr>
        <w:t xml:space="preserve">Национальный календарь обязан исключать:</w:t>
      </w:r>
    </w:p>
    <w:p>
      <w:pPr>
        <w:pStyle w:val="ListBullet"/>
        <w:widowControl/>
        <w:numPr>
          <w:ilvl w:val="0"/>
          <w:numId w:val="1005"/>
        </w:numPr>
        <w:spacing w:after="70"/>
      </w:pPr>
      <w:r>
        <w:rPr>
          <w:rFonts w:ascii="Carlito" w:hAnsi="Carlito" w:eastAsia="Carlito"/>
        </w:rPr>
        <w:t xml:space="preserve">формирование поручения самими кандидатами после начала основной кампании;</w:t>
      </w:r>
    </w:p>
    <w:p>
      <w:pPr>
        <w:pStyle w:val="ListBullet"/>
        <w:widowControl/>
        <w:numPr>
          <w:ilvl w:val="0"/>
          <w:numId w:val="1005"/>
        </w:numPr>
        <w:spacing w:after="70"/>
      </w:pPr>
      <w:r>
        <w:rPr>
          <w:rFonts w:ascii="Carlito" w:hAnsi="Carlito" w:eastAsia="Carlito"/>
        </w:rPr>
        <w:t xml:space="preserve">публикацию вопросов настолько поздно, что ответ становится формальностью;</w:t>
      </w:r>
    </w:p>
    <w:p>
      <w:pPr>
        <w:pStyle w:val="ListBullet"/>
        <w:widowControl/>
        <w:numPr>
          <w:ilvl w:val="0"/>
          <w:numId w:val="1005"/>
        </w:numPr>
        <w:spacing w:after="70"/>
      </w:pPr>
      <w:r>
        <w:rPr>
          <w:rFonts w:ascii="Carlito" w:hAnsi="Carlito" w:eastAsia="Carlito"/>
        </w:rPr>
        <w:t xml:space="preserve">совпадение сроков жалоб по мандату со стадией, на которой исправление практически невозможно;</w:t>
      </w:r>
    </w:p>
    <w:p>
      <w:pPr>
        <w:pStyle w:val="ListBullet"/>
        <w:widowControl/>
        <w:numPr>
          <w:ilvl w:val="0"/>
          <w:numId w:val="1005"/>
        </w:numPr>
        <w:spacing w:after="70"/>
      </w:pPr>
      <w:r>
        <w:rPr>
          <w:rFonts w:ascii="Carlito" w:hAnsi="Carlito" w:eastAsia="Carlito"/>
        </w:rPr>
        <w:t xml:space="preserve">использование голосования как скрытого предварительного тура выборов;</w:t>
      </w:r>
    </w:p>
    <w:p>
      <w:pPr>
        <w:pStyle w:val="ListBullet"/>
        <w:widowControl/>
        <w:numPr>
          <w:ilvl w:val="0"/>
          <w:numId w:val="1005"/>
        </w:numPr>
        <w:spacing w:after="70"/>
      </w:pPr>
      <w:r>
        <w:rPr>
          <w:rFonts w:ascii="Carlito" w:hAnsi="Carlito" w:eastAsia="Carlito"/>
        </w:rPr>
        <w:t xml:space="preserve">автоматический вывод о том, что голос за кандидата означает голос за все его позиции.</w:t>
      </w:r>
    </w:p>
    <w:p>
      <w:pPr>
        <w:pStyle w:val="FirstParagraph"/>
        <w:widowControl/>
      </w:pPr>
      <w:r>
        <w:rPr>
          <w:rFonts w:ascii="Carlito" w:hAnsi="Carlito" w:eastAsia="Carlito"/>
        </w:rPr>
        <w:t xml:space="preserve">Совмещение дня голосования с иным электоральным событием допускается только после доказательства, что бюллетени, информационные материалы, подсчёт и правовые последствия полностью разделены и гражданин не смешивает два решения.</w:t>
      </w:r>
    </w:p>
    <w:bookmarkEnd w:id="32"/>
    <w:bookmarkStart w:id="33" w:name="X581b3d958c249586475cd54ad65c275b0767098"/>
    <w:p>
      <w:pPr>
        <w:pStyle w:val="Heading2"/>
        <w:keepNext/>
        <w:keepLines/>
        <w:widowControl/>
      </w:pPr>
      <w:r>
        <w:rPr>
          <w:rFonts w:ascii="Carlito" w:hAnsi="Carlito" w:eastAsia="Carlito"/>
        </w:rPr>
        <w:t xml:space="preserve">5. Предмет голосования и предел числа вопросов</w:t>
      </w:r>
    </w:p>
    <w:p>
      <w:pPr>
        <w:pStyle w:val="FirstParagraph"/>
        <w:widowControl/>
      </w:pPr>
      <w:r>
        <w:rPr>
          <w:rFonts w:ascii="Carlito" w:hAnsi="Carlito" w:eastAsia="Carlito"/>
        </w:rPr>
        <w:t xml:space="preserve">На финальное голосование выносится только инициатива, прошедшая стадии регистрации, смысловой защиты, поддержки, экспертизы последствий, узкой правовой проверки, общественного обсуждения и гражданского отбора по главам X–XVII.</w:t>
      </w:r>
    </w:p>
    <w:p>
      <w:pPr>
        <w:keepNext/>
        <w:widowControl/>
      </w:pPr>
      <w:r>
        <w:rPr>
          <w:rFonts w:ascii="Carlito" w:hAnsi="Carlito" w:eastAsia="Carlito"/>
        </w:rPr>
        <w:t xml:space="preserve">Каждый пункт должен:</w:t>
      </w:r>
    </w:p>
    <w:p>
      <w:pPr>
        <w:pStyle w:val="ListBullet"/>
        <w:widowControl/>
        <w:numPr>
          <w:ilvl w:val="0"/>
          <w:numId w:val="1006"/>
        </w:numPr>
        <w:spacing w:after="70"/>
      </w:pPr>
      <w:r>
        <w:rPr>
          <w:rFonts w:ascii="Carlito" w:hAnsi="Carlito" w:eastAsia="Carlito"/>
        </w:rPr>
        <w:t xml:space="preserve">иметь один основной предмет;</w:t>
      </w:r>
    </w:p>
    <w:p>
      <w:pPr>
        <w:pStyle w:val="ListBullet"/>
        <w:widowControl/>
        <w:numPr>
          <w:ilvl w:val="0"/>
          <w:numId w:val="1006"/>
        </w:numPr>
        <w:spacing w:after="70"/>
      </w:pPr>
      <w:r>
        <w:rPr>
          <w:rFonts w:ascii="Carlito" w:hAnsi="Carlito" w:eastAsia="Carlito"/>
        </w:rPr>
        <w:t xml:space="preserve">сохранять стабильный идентификатор и утверждённую формулировку;</w:t>
      </w:r>
    </w:p>
    <w:p>
      <w:pPr>
        <w:pStyle w:val="ListBullet"/>
        <w:widowControl/>
        <w:numPr>
          <w:ilvl w:val="0"/>
          <w:numId w:val="1006"/>
        </w:numPr>
        <w:spacing w:after="70"/>
      </w:pPr>
      <w:r>
        <w:rPr>
          <w:rFonts w:ascii="Carlito" w:hAnsi="Carlito" w:eastAsia="Carlito"/>
        </w:rPr>
        <w:t xml:space="preserve">содержать ясную цель, компетентный уровень и пределы правового эффекта;</w:t>
      </w:r>
    </w:p>
    <w:p>
      <w:pPr>
        <w:pStyle w:val="ListBullet"/>
        <w:widowControl/>
        <w:numPr>
          <w:ilvl w:val="0"/>
          <w:numId w:val="1006"/>
        </w:numPr>
        <w:spacing w:after="70"/>
      </w:pPr>
      <w:r>
        <w:rPr>
          <w:rFonts w:ascii="Carlito" w:hAnsi="Carlito" w:eastAsia="Carlito"/>
        </w:rPr>
        <w:t xml:space="preserve">иметь доступную карточку последствий, включая неопределённость и разногласия;</w:t>
      </w:r>
    </w:p>
    <w:p>
      <w:pPr>
        <w:pStyle w:val="ListBullet"/>
        <w:widowControl/>
        <w:numPr>
          <w:ilvl w:val="0"/>
          <w:numId w:val="1006"/>
        </w:numPr>
        <w:spacing w:after="70"/>
      </w:pPr>
      <w:r>
        <w:rPr>
          <w:rFonts w:ascii="Carlito" w:hAnsi="Carlito" w:eastAsia="Carlito"/>
        </w:rPr>
        <w:t xml:space="preserve">позволять отдельное положительное, отрицательное или альтернативное волеизъявление;</w:t>
      </w:r>
    </w:p>
    <w:p>
      <w:pPr>
        <w:pStyle w:val="ListBullet"/>
        <w:widowControl/>
        <w:numPr>
          <w:ilvl w:val="0"/>
          <w:numId w:val="1006"/>
        </w:numPr>
        <w:spacing w:after="70"/>
      </w:pPr>
      <w:r>
        <w:rPr>
          <w:rFonts w:ascii="Carlito" w:hAnsi="Carlito" w:eastAsia="Carlito"/>
        </w:rPr>
        <w:t xml:space="preserve">не требовать согласия с независимым положением ради поддержки основной цели.</w:t>
      </w:r>
    </w:p>
    <w:p>
      <w:pPr>
        <w:pStyle w:val="FirstParagraph"/>
        <w:widowControl/>
      </w:pPr>
      <w:r>
        <w:rPr>
          <w:rFonts w:ascii="Carlito" w:hAnsi="Carlito" w:eastAsia="Carlito"/>
        </w:rPr>
        <w:t xml:space="preserve">Предельное число вопросов устанавливается до цикла. Его увеличение допускается только после независимого подтверждения понятности, доступности, допустимой длительности голосования, отсутствия систематического пропуска поздних пунктов и сохранения качества информированного выбора.</w:t>
      </w:r>
    </w:p>
    <w:bookmarkEnd w:id="33"/>
    <w:bookmarkStart w:id="34" w:name="X96924583fd436b9481240bebf6193797938f0e9"/>
    <w:p>
      <w:pPr>
        <w:pStyle w:val="Heading2"/>
        <w:keepNext/>
        <w:keepLines/>
        <w:widowControl/>
      </w:pPr>
      <w:r>
        <w:rPr>
          <w:rFonts w:ascii="Carlito" w:hAnsi="Carlito" w:eastAsia="Carlito"/>
        </w:rPr>
        <w:t xml:space="preserve">6. Корпус участников и равенство голоса</w:t>
      </w:r>
    </w:p>
    <w:p>
      <w:pPr>
        <w:pStyle w:val="FirstParagraph"/>
        <w:widowControl/>
      </w:pPr>
      <w:r>
        <w:rPr>
          <w:rFonts w:ascii="Carlito" w:hAnsi="Carlito" w:eastAsia="Carlito"/>
        </w:rPr>
        <w:t xml:space="preserve">Окончательное утверждение общественного поручения соответствующего уровня осуществляется корпусом граждан, которому национальное право предоставляет право участвовать в таком политическом решении. Каждый участник обладает одним равным голосом по каждому пункту.</w:t>
      </w:r>
    </w:p>
    <w:p>
      <w:pPr>
        <w:widowControl/>
      </w:pPr>
      <w:r>
        <w:rPr>
          <w:rFonts w:ascii="Carlito" w:hAnsi="Carlito" w:eastAsia="Carlito"/>
        </w:rPr>
        <w:t xml:space="preserve">Не допускается повышать или снижать вес голоса по признакам территории, образования, дохода, цифровой активности, принадлежности к группе, участия в ранних стадиях либо экспертной квалификации. Защита меньшинств реализуется через допустимость, отдельный маршрут слышимости, анализ воздействия и права, а не через скрытый перерасчёт индивидуального голоса.</w:t>
      </w:r>
    </w:p>
    <w:p>
      <w:pPr>
        <w:widowControl/>
      </w:pPr>
      <w:r>
        <w:rPr>
          <w:rFonts w:ascii="Carlito" w:hAnsi="Carlito" w:eastAsia="Carlito"/>
        </w:rPr>
        <w:t xml:space="preserve">Лица, не обладающие окончательным статусом голосующего, могут участвовать в обсуждении, консультативных панелях и представлении воздействия, если это установлено национальным правом. Их мнение публикуется отдельно и не смешивается с итоговым суверенным подсчётом.</w:t>
      </w:r>
    </w:p>
    <w:bookmarkEnd w:id="34"/>
    <w:bookmarkStart w:id="35" w:name="X16acdac221d7872a475d0a2758cce2edde8b5ae"/>
    <w:p>
      <w:pPr>
        <w:pStyle w:val="Heading2"/>
        <w:keepNext/>
        <w:keepLines/>
        <w:widowControl/>
      </w:pPr>
      <w:r>
        <w:rPr>
          <w:rFonts w:ascii="Carlito" w:hAnsi="Carlito" w:eastAsia="Carlito"/>
        </w:rPr>
        <w:t xml:space="preserve">7. Формы вопроса</w:t>
      </w:r>
    </w:p>
    <w:tbl>
      <w:tblPr>
        <w:tblStyle w:val="TableGrid"/>
        <w:tblW w:type="dxa" w:w="9650"/>
        <w:jc w:val="center"/>
        <w:tblLayout w:type="fixed"/>
        <w:tblLook w:firstRow="1" w:lastRow="0" w:firstColumn="0" w:lastColumn="0" w:noHBand="0" w:noVBand="0" w:val="0020"/>
      </w:tblPr>
      <w:tblGrid>
        <w:gridCol w:w="2100"/>
        <w:gridCol w:w="2850"/>
        <w:gridCol w:w="2850"/>
        <w:gridCol w:w="1850"/>
      </w:tblGrid>
      <w:tr>
        <w:trPr>
          <w:tblHeader w:val="true"/>
          <w:cantSplit/>
          <w:tblHeader w:val="true"/>
        </w:trPr>
        <w:tc>
          <w:tcPr>
            <w:tcW w:w="210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Форма</w:t>
            </w:r>
          </w:p>
        </w:tc>
        <w:tc>
          <w:tcPr>
            <w:tcW w:w="28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Когда применяется</w:t>
            </w:r>
          </w:p>
        </w:tc>
        <w:tc>
          <w:tcPr>
            <w:tcW w:w="28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Обязательные варианты</w:t>
            </w:r>
          </w:p>
        </w:tc>
        <w:tc>
          <w:tcPr>
            <w:tcW w:w="18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Правило результата</w:t>
            </w:r>
          </w:p>
        </w:tc>
      </w:tr>
      <w:tr>
        <w:trPr>
          <w:cantSplit/>
        </w:trPr>
        <w:tc>
          <w:tcPr>
            <w:tcW w:w="21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Двоичный вопрос</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Одна самостоятельная цель без взаимоисключающих способов, требующих выбора граждан</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«Поддерживаю», «Не поддерживаю», «Воздерживаюсь»</w:t>
            </w:r>
          </w:p>
        </w:tc>
        <w:tc>
          <w:tcPr>
            <w:tcW w:w="1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Утверждение при большинстве положительных голосов и достижении абсолютного порога поддержки</w:t>
            </w:r>
          </w:p>
        </w:tc>
      </w:tr>
      <w:tr>
        <w:trPr>
          <w:cantSplit/>
        </w:trPr>
        <w:tc>
          <w:tcPr>
            <w:tcW w:w="21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Альтернативный вопрос</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Несколько несовместимых целей или вариантов</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Все квалифицированные альтернативы, статус-кво и при необходимости «Вернуть на доработку»</w:t>
            </w:r>
          </w:p>
        </w:tc>
        <w:tc>
          <w:tcPr>
            <w:tcW w:w="1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Ранжирование либо последовательное голосование; победитель должен получить итоговое большинство и абсолютный порог</w:t>
            </w:r>
          </w:p>
        </w:tc>
      </w:tr>
      <w:tr>
        <w:trPr>
          <w:cantSplit/>
        </w:trPr>
        <w:tc>
          <w:tcPr>
            <w:tcW w:w="21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Связанный независимый референдум</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Национальное право предусматривает прямой юридический эффект</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Форма, установленная Конституцией и законом, в отдельном бюллетене или ясно отделённом разделе</w:t>
            </w:r>
          </w:p>
        </w:tc>
        <w:tc>
          <w:tcPr>
            <w:tcW w:w="1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Последствия определяются только референдумным или конституционным правом, а не Доктриной</w:t>
            </w:r>
          </w:p>
        </w:tc>
      </w:tr>
    </w:tbl>
    <w:p>
      <w:pPr>
        <w:widowControl/>
      </w:pPr>
      <w:r>
        <w:rPr>
          <w:rFonts w:ascii="Carlito" w:hAnsi="Carlito" w:eastAsia="Carlito"/>
        </w:rPr>
        <w:t xml:space="preserve">Форма вопроса не может быть выбрана для получения желаемого результата. Решение о форме принимается по заранее опубликованным критериям и обжалуется до замораживания бюллетеня.</w:t>
      </w:r>
    </w:p>
    <w:bookmarkEnd w:id="35"/>
    <w:bookmarkStart w:id="36" w:name="X8b94454fe0db97df51e5995babcb0053c75ba28"/>
    <w:p>
      <w:pPr>
        <w:pStyle w:val="Heading2"/>
        <w:keepNext/>
        <w:keepLines/>
        <w:widowControl/>
      </w:pPr>
      <w:r>
        <w:rPr>
          <w:rFonts w:ascii="Carlito" w:hAnsi="Carlito" w:eastAsia="Carlito"/>
        </w:rPr>
        <w:t xml:space="preserve">8. Один предмет — одно решение</w:t>
      </w:r>
    </w:p>
    <w:p>
      <w:pPr>
        <w:pStyle w:val="FirstParagraph"/>
        <w:widowControl/>
      </w:pPr>
      <w:r>
        <w:rPr>
          <w:rFonts w:ascii="Carlito" w:hAnsi="Carlito" w:eastAsia="Carlito"/>
        </w:rPr>
        <w:t xml:space="preserve">Независимые цели не объединяются в один вопрос. Связанный пакет допускается только тогда, когда разделение уничтожает правовую или функциональную целостность решения и это доказано в опубликованной мотивировке.</w:t>
      </w:r>
    </w:p>
    <w:p>
      <w:pPr>
        <w:keepNext/>
        <w:widowControl/>
      </w:pPr>
      <w:r>
        <w:rPr>
          <w:rFonts w:ascii="Carlito" w:hAnsi="Carlito" w:eastAsia="Carlito"/>
        </w:rPr>
        <w:t xml:space="preserve">Даже при допустимом связанном пакете гражданину предоставляются:</w:t>
      </w:r>
    </w:p>
    <w:p>
      <w:pPr>
        <w:pStyle w:val="ListBullet"/>
        <w:widowControl/>
        <w:numPr>
          <w:ilvl w:val="0"/>
          <w:numId w:val="1007"/>
        </w:numPr>
        <w:spacing w:after="70"/>
      </w:pPr>
      <w:r>
        <w:rPr>
          <w:rFonts w:ascii="Carlito" w:hAnsi="Carlito" w:eastAsia="Carlito"/>
        </w:rPr>
        <w:t xml:space="preserve">полный перечень компонентов;</w:t>
      </w:r>
    </w:p>
    <w:p>
      <w:pPr>
        <w:pStyle w:val="ListBullet"/>
        <w:widowControl/>
        <w:numPr>
          <w:ilvl w:val="0"/>
          <w:numId w:val="1007"/>
        </w:numPr>
        <w:spacing w:after="70"/>
      </w:pPr>
      <w:r>
        <w:rPr>
          <w:rFonts w:ascii="Carlito" w:hAnsi="Carlito" w:eastAsia="Carlito"/>
        </w:rPr>
        <w:t xml:space="preserve">объяснение невозможности раздельного решения;</w:t>
      </w:r>
    </w:p>
    <w:p>
      <w:pPr>
        <w:pStyle w:val="ListBullet"/>
        <w:widowControl/>
        <w:numPr>
          <w:ilvl w:val="0"/>
          <w:numId w:val="1007"/>
        </w:numPr>
        <w:spacing w:after="70"/>
      </w:pPr>
      <w:r>
        <w:rPr>
          <w:rFonts w:ascii="Carlito" w:hAnsi="Carlito" w:eastAsia="Carlito"/>
        </w:rPr>
        <w:t xml:space="preserve">оценка того, какой компонент определяет основные издержки и риски;</w:t>
      </w:r>
    </w:p>
    <w:p>
      <w:pPr>
        <w:pStyle w:val="ListBullet"/>
        <w:widowControl/>
        <w:numPr>
          <w:ilvl w:val="0"/>
          <w:numId w:val="1007"/>
        </w:numPr>
        <w:spacing w:after="70"/>
      </w:pPr>
      <w:r>
        <w:rPr>
          <w:rFonts w:ascii="Carlito" w:hAnsi="Carlito" w:eastAsia="Carlito"/>
        </w:rPr>
        <w:t xml:space="preserve">вариант отклонения пакета;</w:t>
      </w:r>
    </w:p>
    <w:p>
      <w:pPr>
        <w:pStyle w:val="ListBullet"/>
        <w:widowControl/>
        <w:numPr>
          <w:ilvl w:val="0"/>
          <w:numId w:val="1007"/>
        </w:numPr>
        <w:spacing w:after="70"/>
      </w:pPr>
      <w:r>
        <w:rPr>
          <w:rFonts w:ascii="Carlito" w:hAnsi="Carlito" w:eastAsia="Carlito"/>
        </w:rPr>
        <w:t xml:space="preserve">право обжаловать искусственное объединение до голосования.</w:t>
      </w:r>
    </w:p>
    <w:p>
      <w:pPr>
        <w:pStyle w:val="FirstParagraph"/>
        <w:widowControl/>
      </w:pPr>
      <w:r>
        <w:rPr>
          <w:rFonts w:ascii="Carlito" w:hAnsi="Carlito" w:eastAsia="Carlito"/>
        </w:rPr>
        <w:t xml:space="preserve">Политическое удобство, экономия места, стремление собрать коалицию поддержки либо желание скрыть непопулярный элемент не являются основанием неделимости.</w:t>
      </w:r>
    </w:p>
    <w:bookmarkEnd w:id="36"/>
    <w:bookmarkStart w:id="37" w:name="X9cad6ab7e83565f2e798fc96f82c6a97ced096c"/>
    <w:p>
      <w:pPr>
        <w:widowControl/>
      </w:pPr>
      <w:r>
        <w:t>Для конфликтной группы бюллетень использует заранее утверждённый способ определения приоритета. Несовместимые пункты не могут быть одновременно сертифицированы как активные элементы одного поручения.</w:t>
      </w:r>
    </w:p>
    <w:p>
      <w:pPr>
        <w:pStyle w:val="Heading2"/>
        <w:keepNext/>
        <w:keepLines/>
        <w:widowControl/>
      </w:pPr>
      <w:r>
        <w:rPr>
          <w:rFonts w:ascii="Carlito" w:hAnsi="Carlito" w:eastAsia="Carlito"/>
        </w:rPr>
        <w:t xml:space="preserve">9. Нейтральность бюллетеня и порядка</w:t>
      </w:r>
    </w:p>
    <w:p>
      <w:pPr>
        <w:pStyle w:val="FirstParagraph"/>
        <w:widowControl/>
      </w:pPr>
      <w:r>
        <w:rPr>
          <w:rFonts w:ascii="Carlito" w:hAnsi="Carlito" w:eastAsia="Carlito"/>
        </w:rPr>
        <w:t xml:space="preserve">Бюллетень и цифровой интерфейс не содержат официальной рекомендации, эмоциональной маркировки, рейтинга желательности, цветового подталкивания или предварительно выбранного ответа.</w:t>
      </w:r>
    </w:p>
    <w:p>
      <w:pPr>
        <w:widowControl/>
      </w:pPr>
      <w:r>
        <w:rPr>
          <w:rFonts w:ascii="Carlito" w:hAnsi="Carlito" w:eastAsia="Carlito"/>
        </w:rPr>
        <w:t xml:space="preserve">Для снижения эффекта порядка применяются заранее определённые меры: ротация или проверяемая случайность, равное визуальное пространство, единый шрифт, одинаковая глубина кратких пояснений и независимый пользовательский аудит. Порядок не может формироваться исполнительной властью либо оператором вручную после известности политических предпочтений.</w:t>
      </w:r>
    </w:p>
    <w:p>
      <w:pPr>
        <w:widowControl/>
      </w:pPr>
      <w:r>
        <w:rPr>
          <w:rFonts w:ascii="Carlito" w:hAnsi="Carlito" w:eastAsia="Carlito"/>
        </w:rPr>
        <w:t xml:space="preserve">Краткий текст в бюллетене сопровождается стабильным идентификатором и доступом к полной карточке, но голос не может зависеть от наличия у гражданина личного цифрового устройства.</w:t>
      </w:r>
    </w:p>
    <w:bookmarkEnd w:id="37"/>
    <w:bookmarkStart w:id="38" w:name="Xe7a67c22f705062bb8c2d3c4c51a8cd01d1beeb"/>
    <w:p>
      <w:pPr>
        <w:pStyle w:val="Heading2"/>
        <w:keepNext/>
        <w:keepLines/>
        <w:widowControl/>
      </w:pPr>
      <w:r>
        <w:rPr>
          <w:rFonts w:ascii="Carlito" w:hAnsi="Carlito" w:eastAsia="Carlito"/>
        </w:rPr>
        <w:t xml:space="preserve">10. Официальный информационный пакет</w:t>
      </w:r>
    </w:p>
    <w:p>
      <w:pPr>
        <w:pStyle w:val="FirstParagraph"/>
        <w:keepNext/>
        <w:widowControl/>
      </w:pPr>
      <w:r>
        <w:rPr>
          <w:rFonts w:ascii="Carlito" w:hAnsi="Carlito" w:eastAsia="Carlito"/>
        </w:rPr>
        <w:t xml:space="preserve">Не позднее установленного срока каждому участнику предоставляется нейтральный официальный пакет по единой версии. Он включает:</w:t>
      </w:r>
    </w:p>
    <w:p>
      <w:pPr>
        <w:pStyle w:val="ListBullet"/>
        <w:widowControl/>
        <w:numPr>
          <w:ilvl w:val="0"/>
          <w:numId w:val="1008"/>
        </w:numPr>
        <w:spacing w:after="70"/>
      </w:pPr>
      <w:r>
        <w:rPr>
          <w:rFonts w:ascii="Carlito" w:hAnsi="Carlito" w:eastAsia="Carlito"/>
        </w:rPr>
        <w:t xml:space="preserve">финальную формулировку и неизменяемый исходный текст;</w:t>
      </w:r>
    </w:p>
    <w:p>
      <w:pPr>
        <w:pStyle w:val="ListBullet"/>
        <w:widowControl/>
        <w:numPr>
          <w:ilvl w:val="0"/>
          <w:numId w:val="1008"/>
        </w:numPr>
        <w:spacing w:after="70"/>
      </w:pPr>
      <w:r>
        <w:rPr>
          <w:rFonts w:ascii="Carlito" w:hAnsi="Carlito" w:eastAsia="Carlito"/>
        </w:rPr>
        <w:t xml:space="preserve">краткое объяснение цели и статус-кво;</w:t>
      </w:r>
    </w:p>
    <w:p>
      <w:pPr>
        <w:pStyle w:val="ListBullet"/>
        <w:widowControl/>
        <w:numPr>
          <w:ilvl w:val="0"/>
          <w:numId w:val="1008"/>
        </w:numPr>
        <w:spacing w:after="70"/>
      </w:pPr>
      <w:r>
        <w:rPr>
          <w:rFonts w:ascii="Carlito" w:hAnsi="Carlito" w:eastAsia="Carlito"/>
        </w:rPr>
        <w:t xml:space="preserve">основные аргументы в поддержку, против и альтернативные позиции;</w:t>
      </w:r>
    </w:p>
    <w:p>
      <w:pPr>
        <w:pStyle w:val="ListBullet"/>
        <w:widowControl/>
        <w:numPr>
          <w:ilvl w:val="0"/>
          <w:numId w:val="1008"/>
        </w:numPr>
        <w:spacing w:after="70"/>
      </w:pPr>
      <w:r>
        <w:rPr>
          <w:rFonts w:ascii="Carlito" w:hAnsi="Carlito" w:eastAsia="Carlito"/>
        </w:rPr>
        <w:t xml:space="preserve">карту компетенции и зависимостей;</w:t>
      </w:r>
    </w:p>
    <w:p>
      <w:pPr>
        <w:pStyle w:val="ListBullet"/>
        <w:widowControl/>
        <w:numPr>
          <w:ilvl w:val="0"/>
          <w:numId w:val="1008"/>
        </w:numPr>
        <w:spacing w:after="70"/>
      </w:pPr>
      <w:r>
        <w:rPr>
          <w:rFonts w:ascii="Carlito" w:hAnsi="Carlito" w:eastAsia="Carlito"/>
        </w:rPr>
        <w:t xml:space="preserve">диапазоны стоимости, источников и альтернативной стоимости;</w:t>
      </w:r>
    </w:p>
    <w:p>
      <w:pPr>
        <w:pStyle w:val="ListBullet"/>
        <w:widowControl/>
        <w:numPr>
          <w:ilvl w:val="0"/>
          <w:numId w:val="1008"/>
        </w:numPr>
        <w:spacing w:after="70"/>
      </w:pPr>
      <w:r>
        <w:rPr>
          <w:rFonts w:ascii="Carlito" w:hAnsi="Carlito" w:eastAsia="Carlito"/>
        </w:rPr>
        <w:t xml:space="preserve">распределительные последствия, воздействие на права и уязвимые группы;</w:t>
      </w:r>
    </w:p>
    <w:p>
      <w:pPr>
        <w:pStyle w:val="ListBullet"/>
        <w:widowControl/>
        <w:numPr>
          <w:ilvl w:val="0"/>
          <w:numId w:val="1008"/>
        </w:numPr>
        <w:spacing w:after="70"/>
      </w:pPr>
      <w:r>
        <w:rPr>
          <w:rFonts w:ascii="Carlito" w:hAnsi="Carlito" w:eastAsia="Carlito"/>
        </w:rPr>
        <w:t xml:space="preserve">основной показатель результата и защитные показатели;</w:t>
      </w:r>
    </w:p>
    <w:p>
      <w:pPr>
        <w:pStyle w:val="ListBullet"/>
        <w:widowControl/>
        <w:numPr>
          <w:ilvl w:val="0"/>
          <w:numId w:val="1008"/>
        </w:numPr>
        <w:spacing w:after="70"/>
      </w:pPr>
      <w:r>
        <w:rPr>
          <w:rFonts w:ascii="Carlito" w:hAnsi="Carlito" w:eastAsia="Carlito"/>
        </w:rPr>
        <w:t xml:space="preserve">уровень неопределённости, альтернативные модели и особые мнения;</w:t>
      </w:r>
    </w:p>
    <w:p>
      <w:pPr>
        <w:pStyle w:val="ListBullet"/>
        <w:widowControl/>
        <w:numPr>
          <w:ilvl w:val="0"/>
          <w:numId w:val="1008"/>
        </w:numPr>
        <w:spacing w:after="70"/>
      </w:pPr>
      <w:r>
        <w:rPr>
          <w:rFonts w:ascii="Carlito" w:hAnsi="Carlito" w:eastAsia="Carlito"/>
        </w:rPr>
        <w:t xml:space="preserve">точное описание правового эффекта положительного и отрицательного результата;</w:t>
      </w:r>
    </w:p>
    <w:p>
      <w:pPr>
        <w:pStyle w:val="ListBullet"/>
        <w:widowControl/>
        <w:numPr>
          <w:ilvl w:val="0"/>
          <w:numId w:val="1008"/>
        </w:numPr>
        <w:spacing w:after="70"/>
      </w:pPr>
      <w:r>
        <w:rPr>
          <w:rFonts w:ascii="Carlito" w:hAnsi="Carlito" w:eastAsia="Carlito"/>
        </w:rPr>
        <w:t xml:space="preserve">историю редакций и решения по жалобам.</w:t>
      </w:r>
    </w:p>
    <w:p>
      <w:pPr>
        <w:pStyle w:val="FirstParagraph"/>
        <w:widowControl/>
      </w:pPr>
      <w:r>
        <w:rPr>
          <w:rFonts w:ascii="Carlito" w:hAnsi="Carlito" w:eastAsia="Carlito"/>
        </w:rPr>
        <w:t xml:space="preserve">Неполнота либо позднее изменение официального пакета оценивается по критерию существенности: могло ли нарушение разумно повлиять на понимание вопроса, равенство сторон или результат.</w:t>
      </w:r>
    </w:p>
    <w:bookmarkEnd w:id="38"/>
    <w:bookmarkStart w:id="39" w:name="X5cacbb19e71e9c6db01c562111e9437ac261680"/>
    <w:p>
      <w:pPr>
        <w:pStyle w:val="Heading2"/>
        <w:keepNext/>
        <w:keepLines/>
        <w:widowControl/>
      </w:pPr>
      <w:r>
        <w:rPr>
          <w:rFonts w:ascii="Carlito" w:hAnsi="Carlito" w:eastAsia="Carlito"/>
        </w:rPr>
        <w:t xml:space="preserve">11. Статус-кво и альтернативы</w:t>
      </w:r>
    </w:p>
    <w:p>
      <w:pPr>
        <w:pStyle w:val="FirstParagraph"/>
        <w:widowControl/>
      </w:pPr>
      <w:r>
        <w:rPr>
          <w:rFonts w:ascii="Carlito" w:hAnsi="Carlito" w:eastAsia="Carlito"/>
        </w:rPr>
        <w:t xml:space="preserve">Статус-кво всегда описывается как самостоятельная реальная альтернатива, включая действующее право, текущие расходы, ожидаемую динамику и риски бездействия. Он не представляется как отсутствие последствий.</w:t>
      </w:r>
    </w:p>
    <w:p>
      <w:pPr>
        <w:widowControl/>
      </w:pPr>
      <w:r>
        <w:rPr>
          <w:rFonts w:ascii="Carlito" w:hAnsi="Carlito" w:eastAsia="Carlito"/>
        </w:rPr>
        <w:t xml:space="preserve">При нескольких альтернативах ни одна не получает официальный статус основной только потому, что предложена государственным органом, крупнейшей группой поддержки или редакционной панелью.</w:t>
      </w:r>
    </w:p>
    <w:p>
      <w:pPr>
        <w:widowControl/>
      </w:pPr>
      <w:r>
        <w:rPr>
          <w:rFonts w:ascii="Carlito" w:hAnsi="Carlito" w:eastAsia="Carlito"/>
        </w:rPr>
        <w:t xml:space="preserve">Вариант «вернуть на доработку» означает отсутствие утверждения на текущем цикле. Он не позволяет оператору без нового подтверждения внести изменённый текст в общественный мандат.</w:t>
      </w:r>
    </w:p>
    <w:bookmarkEnd w:id="39"/>
    <w:bookmarkStart w:id="40" w:name="X1cad685122c6c8529074fcef6b1dd430f8c9487"/>
    <w:p>
      <w:pPr>
        <w:pStyle w:val="Heading2"/>
        <w:keepNext/>
        <w:keepLines/>
        <w:widowControl/>
      </w:pPr>
      <w:r>
        <w:rPr>
          <w:rFonts w:ascii="Carlito" w:hAnsi="Carlito" w:eastAsia="Carlito"/>
        </w:rPr>
        <w:t xml:space="preserve">12. Критерии утверждения пункта</w:t>
      </w:r>
    </w:p>
    <w:p>
      <w:pPr>
        <w:pStyle w:val="FirstParagraph"/>
        <w:widowControl/>
        <w:keepNext/>
      </w:pPr>
      <w:r>
        <w:rPr>
          <w:rFonts w:ascii="Carlito" w:hAnsi="Carlito" w:eastAsia="Carlito"/>
        </w:rPr>
        <w:t xml:space="preserve">Универсальная модель различает действительность процесса, относительное большинство, абсолютную положительную поддержку и качество общественного представительства. Эти элементы не подменяют друг друга.</w:t>
      </w:r>
    </w:p>
    <w:tbl>
      <w:tblPr>
        <w:tblStyle w:val="TableGrid"/>
        <w:tblW w:type="dxa" w:w="9650"/>
        <w:jc w:val="center"/>
        <w:tblLayout w:type="fixed"/>
        <w:tblLook w:firstRow="1" w:lastRow="0" w:firstColumn="0" w:lastColumn="0" w:noHBand="0" w:noVBand="0" w:val="0020"/>
      </w:tblPr>
      <w:tblGrid>
        <w:gridCol w:w="1800"/>
        <w:gridCol w:w="3900"/>
        <w:gridCol w:w="3950"/>
      </w:tblGrid>
      <w:tr>
        <w:trPr>
          <w:tblHeader w:val="true"/>
          <w:cantSplit/>
          <w:tblHeader w:val="true"/>
        </w:trPr>
        <w:tc>
          <w:tcPr>
            <w:tcW w:w="180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Условие</w:t>
            </w:r>
          </w:p>
        </w:tc>
        <w:tc>
          <w:tcPr>
            <w:tcW w:w="390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Содержание</w:t>
            </w:r>
          </w:p>
        </w:tc>
        <w:tc>
          <w:tcPr>
            <w:tcW w:w="39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Последствие отсутствия</w:t>
            </w:r>
          </w:p>
        </w:tc>
      </w:tr>
      <w:tr>
        <w:trPr>
          <w:cantSplit/>
        </w:trPr>
        <w:tc>
          <w:tcPr>
            <w:tcW w:w="18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Действительность процедуры</w:t>
            </w:r>
          </w:p>
        </w:tc>
        <w:tc>
          <w:tcPr>
            <w:tcW w:w="39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Соблюдены равенство, тайна, доступность, неизменность вопроса, подсчёт, аудит и существенные гарантии</w:t>
            </w:r>
          </w:p>
        </w:tc>
        <w:tc>
          <w:tcPr>
            <w:tcW w:w="39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Результат не сертифицируется либо проводится повтор затронутой операции</w:t>
            </w:r>
          </w:p>
        </w:tc>
      </w:tr>
      <w:tr>
        <w:trPr>
          <w:cantSplit/>
        </w:trPr>
        <w:tc>
          <w:tcPr>
            <w:tcW w:w="18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Большинство</w:t>
            </w:r>
          </w:p>
        </w:tc>
        <w:tc>
          <w:tcPr>
            <w:tcW w:w="39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Положительные голоса превышают отрицательные по заранее определённому правилу; воздержание учитывается отдельно</w:t>
            </w:r>
          </w:p>
        </w:tc>
        <w:tc>
          <w:tcPr>
            <w:tcW w:w="39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Пункт не утверждается</w:t>
            </w:r>
          </w:p>
        </w:tc>
      </w:tr>
      <w:tr>
        <w:trPr>
          <w:cantSplit/>
        </w:trPr>
        <w:tc>
          <w:tcPr>
            <w:tcW w:w="18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Минимальная абсолютная поддержка</w:t>
            </w:r>
          </w:p>
        </w:tc>
        <w:tc>
          <w:tcPr>
            <w:tcW w:w="39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Число положительных голосов достигает заранее установленной доли или числа от соответствующего корпуса</w:t>
            </w:r>
          </w:p>
        </w:tc>
        <w:tc>
          <w:tcPr>
            <w:tcW w:w="39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Пункт может быть признан значимым приоритетом, но не входит в общественный мандат</w:t>
            </w:r>
          </w:p>
        </w:tc>
      </w:tr>
      <w:tr>
        <w:trPr>
          <w:cantSplit/>
        </w:trPr>
        <w:tc>
          <w:tcPr>
            <w:tcW w:w="18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Информационная состоятельность</w:t>
            </w:r>
          </w:p>
        </w:tc>
        <w:tc>
          <w:tcPr>
            <w:tcW w:w="39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Вопрос и последствия были понятны в пределах проверяемого стандарта</w:t>
            </w:r>
          </w:p>
        </w:tc>
        <w:tc>
          <w:tcPr>
            <w:tcW w:w="39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При существенном дефекте — отмена или повтор; при несущественном — оговорка</w:t>
            </w:r>
          </w:p>
        </w:tc>
      </w:tr>
      <w:tr>
        <w:trPr>
          <w:cantSplit/>
        </w:trPr>
        <w:tc>
          <w:tcPr>
            <w:tcW w:w="18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Доступность</w:t>
            </w:r>
          </w:p>
        </w:tc>
        <w:tc>
          <w:tcPr>
            <w:tcW w:w="39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Не выявлено системного исключения групп или территорий из-за действий организатора</w:t>
            </w:r>
          </w:p>
        </w:tc>
        <w:tc>
          <w:tcPr>
            <w:tcW w:w="39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Сертификация приостанавливается до оценки существенности; масштабирование запрещается</w:t>
            </w:r>
          </w:p>
        </w:tc>
      </w:tr>
    </w:tbl>
    <w:p>
      <w:pPr>
        <w:widowControl/>
      </w:pPr>
      <w:r>
        <w:rPr>
          <w:rFonts w:ascii="Carlito" w:hAnsi="Carlito" w:eastAsia="Carlito"/>
        </w:rPr>
        <w:t xml:space="preserve">Точная величина абсолютного порога определяется национальной адаптацией с учётом уровня власти, размера корпуса и роли мандата. Она не может изменяться вблизи конкретного цикла и должна быть смоделирована на исторических данных, включая риск бойкота и доминирования организованного меньшинства.</w:t>
      </w:r>
    </w:p>
    <w:bookmarkEnd w:id="40"/>
    <w:bookmarkStart w:id="41" w:name="X1762b32fe89b1e19c0a9789c0d6ea54de62b3ae"/>
    <w:p>
      <w:pPr>
        <w:pStyle w:val="Heading2"/>
        <w:keepNext/>
        <w:keepLines/>
        <w:widowControl/>
      </w:pPr>
      <w:r>
        <w:rPr>
          <w:rFonts w:ascii="Carlito" w:hAnsi="Carlito" w:eastAsia="Carlito"/>
        </w:rPr>
        <w:t xml:space="preserve">13. Явка, воздержание и пределы официального вывода</w:t>
      </w:r>
    </w:p>
    <w:p>
      <w:pPr>
        <w:pStyle w:val="FirstParagraph"/>
        <w:widowControl/>
      </w:pPr>
      <w:r>
        <w:rPr>
          <w:rFonts w:ascii="Carlito" w:hAnsi="Carlito" w:eastAsia="Carlito"/>
        </w:rPr>
        <w:t xml:space="preserve">Общий кворум явки не используется как единственный механизм легитимности, поскольку он позволяет сторонникам бойкота определять действительность голосов участвовавших граждан. Вместо него применяется минимальная положительная поддержка и обязательное раскрытие участия.</w:t>
      </w:r>
    </w:p>
    <w:p>
      <w:pPr>
        <w:keepNext/>
        <w:widowControl/>
      </w:pPr>
      <w:r>
        <w:rPr>
          <w:rFonts w:ascii="Carlito" w:hAnsi="Carlito" w:eastAsia="Carlito"/>
        </w:rPr>
        <w:t xml:space="preserve">Официальная публикация всегда содержит:</w:t>
      </w:r>
    </w:p>
    <w:p>
      <w:pPr>
        <w:pStyle w:val="ListBullet"/>
        <w:widowControl/>
        <w:numPr>
          <w:ilvl w:val="0"/>
          <w:numId w:val="1009"/>
        </w:numPr>
        <w:spacing w:after="70"/>
      </w:pPr>
      <w:r>
        <w:rPr>
          <w:rFonts w:ascii="Carlito" w:hAnsi="Carlito" w:eastAsia="Carlito"/>
        </w:rPr>
        <w:t xml:space="preserve">число и долю положительных, отрицательных и воздержавшихся;</w:t>
      </w:r>
    </w:p>
    <w:p>
      <w:pPr>
        <w:pStyle w:val="ListBullet"/>
        <w:widowControl/>
        <w:numPr>
          <w:ilvl w:val="0"/>
          <w:numId w:val="1009"/>
        </w:numPr>
        <w:spacing w:after="70"/>
      </w:pPr>
      <w:r>
        <w:rPr>
          <w:rFonts w:ascii="Carlito" w:hAnsi="Carlito" w:eastAsia="Carlito"/>
        </w:rPr>
        <w:t xml:space="preserve">долю соответствующего корпуса, поддержавшую пункт;</w:t>
      </w:r>
    </w:p>
    <w:p>
      <w:pPr>
        <w:pStyle w:val="ListBullet"/>
        <w:widowControl/>
        <w:numPr>
          <w:ilvl w:val="0"/>
          <w:numId w:val="1009"/>
        </w:numPr>
        <w:spacing w:after="70"/>
      </w:pPr>
      <w:r>
        <w:rPr>
          <w:rFonts w:ascii="Carlito" w:hAnsi="Carlito" w:eastAsia="Carlito"/>
        </w:rPr>
        <w:t xml:space="preserve">общую явку и число недействительных отметок;</w:t>
      </w:r>
    </w:p>
    <w:p>
      <w:pPr>
        <w:pStyle w:val="ListBullet"/>
        <w:widowControl/>
        <w:numPr>
          <w:ilvl w:val="0"/>
          <w:numId w:val="1009"/>
        </w:numPr>
        <w:spacing w:after="70"/>
      </w:pPr>
      <w:r>
        <w:rPr>
          <w:rFonts w:ascii="Carlito" w:hAnsi="Carlito" w:eastAsia="Carlito"/>
        </w:rPr>
        <w:t xml:space="preserve">территориальную структуру в безопасной агрегированной форме;</w:t>
      </w:r>
    </w:p>
    <w:p>
      <w:pPr>
        <w:pStyle w:val="ListBullet"/>
        <w:widowControl/>
        <w:numPr>
          <w:ilvl w:val="0"/>
          <w:numId w:val="1009"/>
        </w:numPr>
        <w:spacing w:after="70"/>
      </w:pPr>
      <w:r>
        <w:rPr>
          <w:rFonts w:ascii="Carlito" w:hAnsi="Carlito" w:eastAsia="Carlito"/>
        </w:rPr>
        <w:t xml:space="preserve">известные социальные и доступностные разрывы без политического профилирования;</w:t>
      </w:r>
    </w:p>
    <w:p>
      <w:pPr>
        <w:pStyle w:val="ListBullet"/>
        <w:widowControl/>
        <w:numPr>
          <w:ilvl w:val="0"/>
          <w:numId w:val="1009"/>
        </w:numPr>
        <w:spacing w:after="70"/>
      </w:pPr>
      <w:r>
        <w:rPr>
          <w:rFonts w:ascii="Carlito" w:hAnsi="Carlito" w:eastAsia="Carlito"/>
        </w:rPr>
        <w:t xml:space="preserve">формулировку, точно соответствующую масштабу результата.</w:t>
      </w:r>
    </w:p>
    <w:p>
      <w:pPr>
        <w:pStyle w:val="FirstParagraph"/>
        <w:widowControl/>
      </w:pPr>
      <w:r>
        <w:rPr>
          <w:rFonts w:ascii="Carlito" w:hAnsi="Carlito" w:eastAsia="Carlito"/>
        </w:rPr>
        <w:t xml:space="preserve">Не допускаются выражения «все граждане решили», «единая воля общества» или равнозначные утверждения, если данные показывают ограниченное участие или существенное несогласие. Корректная формула указывает, что пункт утверждён установленной процедурой при конкретном уровне поддержки.</w:t>
      </w:r>
    </w:p>
    <w:bookmarkEnd w:id="41"/>
    <w:bookmarkStart w:id="42" w:name="Xd21d55e3c568793fc674fd954a45148ab97531b"/>
    <w:p>
      <w:pPr>
        <w:pStyle w:val="Heading2"/>
        <w:keepNext/>
        <w:keepLines/>
        <w:widowControl/>
      </w:pPr>
      <w:r>
        <w:rPr>
          <w:rFonts w:ascii="Carlito" w:hAnsi="Carlito" w:eastAsia="Carlito"/>
        </w:rPr>
        <w:t xml:space="preserve">14. Финансово и функционально несовместимые пункты</w:t>
      </w:r>
    </w:p>
    <w:p>
      <w:pPr>
        <w:pStyle w:val="FirstParagraph"/>
        <w:widowControl/>
      </w:pPr>
      <w:r>
        <w:rPr>
          <w:rFonts w:ascii="Carlito" w:hAnsi="Carlito" w:eastAsia="Carlito"/>
        </w:rPr>
        <w:t xml:space="preserve">Совокупная дороговизна не позволяет экспертному или бюджетному органу удалять законные пункты после гражданского отбора. Одновременно голосование не должно скрывать, что все цели могут быть неосуществимы одновременно.</w:t>
      </w:r>
    </w:p>
    <w:p>
      <w:pPr>
        <w:keepNext/>
        <w:widowControl/>
      </w:pPr>
      <w:r>
        <w:rPr>
          <w:rFonts w:ascii="Carlito" w:hAnsi="Carlito" w:eastAsia="Carlito"/>
        </w:rPr>
        <w:t xml:space="preserve">До голосования публикуются совместные сценарии. Если пункты конкурируют за один ресурс, применяются один или несколько заранее установленных инструментов:</w:t>
      </w:r>
    </w:p>
    <w:p>
      <w:pPr>
        <w:pStyle w:val="ListBullet"/>
        <w:widowControl/>
        <w:numPr>
          <w:ilvl w:val="0"/>
          <w:numId w:val="1010"/>
        </w:numPr>
        <w:spacing w:after="70"/>
      </w:pPr>
      <w:r>
        <w:rPr>
          <w:rFonts w:ascii="Carlito" w:hAnsi="Carlito" w:eastAsia="Carlito"/>
        </w:rPr>
        <w:t xml:space="preserve">дополнительная приоритетная отметка без изменения основного голоса;</w:t>
      </w:r>
    </w:p>
    <w:p>
      <w:pPr>
        <w:pStyle w:val="ListBullet"/>
        <w:widowControl/>
        <w:numPr>
          <w:ilvl w:val="0"/>
          <w:numId w:val="1010"/>
        </w:numPr>
        <w:spacing w:after="70"/>
      </w:pPr>
      <w:r>
        <w:rPr>
          <w:rFonts w:ascii="Carlito" w:hAnsi="Carlito" w:eastAsia="Carlito"/>
        </w:rPr>
        <w:t xml:space="preserve">ранжирование конкурирующих целей;</w:t>
      </w:r>
    </w:p>
    <w:p>
      <w:pPr>
        <w:pStyle w:val="ListBullet"/>
        <w:widowControl/>
        <w:numPr>
          <w:ilvl w:val="0"/>
          <w:numId w:val="1010"/>
        </w:numPr>
        <w:spacing w:after="70"/>
      </w:pPr>
      <w:r>
        <w:rPr>
          <w:rFonts w:ascii="Carlito" w:hAnsi="Carlito" w:eastAsia="Carlito"/>
        </w:rPr>
        <w:t xml:space="preserve">ясно сформированные альтернативные финансовые пакеты;</w:t>
      </w:r>
    </w:p>
    <w:p>
      <w:pPr>
        <w:pStyle w:val="ListBullet"/>
        <w:widowControl/>
        <w:numPr>
          <w:ilvl w:val="0"/>
          <w:numId w:val="1010"/>
        </w:numPr>
        <w:spacing w:after="70"/>
      </w:pPr>
      <w:r>
        <w:rPr>
          <w:rFonts w:ascii="Carlito" w:hAnsi="Carlito" w:eastAsia="Carlito"/>
        </w:rPr>
        <w:t xml:space="preserve">указание минимального, базового и расширенного объёма реализации;</w:t>
      </w:r>
    </w:p>
    <w:p>
      <w:pPr>
        <w:pStyle w:val="ListBullet"/>
        <w:widowControl/>
        <w:numPr>
          <w:ilvl w:val="0"/>
          <w:numId w:val="1010"/>
        </w:numPr>
        <w:spacing w:after="70"/>
      </w:pPr>
      <w:r>
        <w:rPr>
          <w:rFonts w:ascii="Carlito" w:hAnsi="Carlito" w:eastAsia="Carlito"/>
        </w:rPr>
        <w:t xml:space="preserve">обязанность кандидата представить последовательность, источники и отказ от несовместимых способов.</w:t>
      </w:r>
    </w:p>
    <w:p>
      <w:pPr>
        <w:pStyle w:val="FirstParagraph"/>
        <w:widowControl/>
      </w:pPr>
      <w:r>
        <w:rPr>
          <w:rFonts w:ascii="Carlito" w:hAnsi="Carlito" w:eastAsia="Carlito"/>
        </w:rPr>
        <w:t xml:space="preserve">Приоритетная отметка не превращается в единый официальный индекс и не позволяет объявить менее приоритетный, но утверждённый пункт несуществующим.</w:t>
      </w:r>
    </w:p>
    <w:bookmarkEnd w:id="42"/>
    <w:bookmarkStart w:id="43" w:name="X7d8b1d59e730a1160062d1d225d4ead8bc0f742"/>
    <w:p>
      <w:pPr>
        <w:widowControl/>
      </w:pPr>
      <w:r>
        <w:t>Языковые и доступные версии являются юридически эквивалентными. Существенное расхождение в понимании правового эффекта ведёт к исправлению, продлению либо повторению затронутого голосования.</w:t>
      </w:r>
    </w:p>
    <w:p>
      <w:pPr>
        <w:pStyle w:val="Heading2"/>
        <w:keepNext/>
        <w:keepLines/>
        <w:widowControl/>
      </w:pPr>
      <w:r>
        <w:rPr>
          <w:rFonts w:ascii="Carlito" w:hAnsi="Carlito" w:eastAsia="Carlito"/>
        </w:rPr>
        <w:t xml:space="preserve">15. Каналы голосования и источник истины</w:t>
      </w:r>
    </w:p>
    <w:p>
      <w:pPr>
        <w:pStyle w:val="FirstParagraph"/>
        <w:widowControl/>
      </w:pPr>
      <w:r>
        <w:rPr>
          <w:rFonts w:ascii="Carlito" w:hAnsi="Carlito" w:eastAsia="Carlito"/>
        </w:rPr>
        <w:t xml:space="preserve">Финальное голосование проводится через очный и иной функционально равный канал. Цифровой канал может дополнять, но не вытеснять доступную недигитальную альтернативу.</w:t>
      </w:r>
    </w:p>
    <w:p>
      <w:pPr>
        <w:keepNext/>
        <w:widowControl/>
      </w:pPr>
      <w:r>
        <w:rPr>
          <w:rFonts w:ascii="Carlito" w:hAnsi="Carlito" w:eastAsia="Carlito"/>
        </w:rPr>
        <w:t xml:space="preserve">До начала цикла национальная модель определяет:</w:t>
      </w:r>
    </w:p>
    <w:p>
      <w:pPr>
        <w:pStyle w:val="ListBullet"/>
        <w:widowControl/>
        <w:numPr>
          <w:ilvl w:val="0"/>
          <w:numId w:val="1011"/>
        </w:numPr>
        <w:spacing w:after="70"/>
      </w:pPr>
      <w:r>
        <w:rPr>
          <w:rFonts w:ascii="Carlito" w:hAnsi="Carlito" w:eastAsia="Carlito"/>
        </w:rPr>
        <w:t xml:space="preserve">какой носитель является первичным доказательством волеизъявления;</w:t>
      </w:r>
    </w:p>
    <w:p>
      <w:pPr>
        <w:pStyle w:val="ListBullet"/>
        <w:widowControl/>
        <w:numPr>
          <w:ilvl w:val="0"/>
          <w:numId w:val="1011"/>
        </w:numPr>
        <w:spacing w:after="70"/>
      </w:pPr>
      <w:r>
        <w:rPr>
          <w:rFonts w:ascii="Carlito" w:hAnsi="Carlito" w:eastAsia="Carlito"/>
        </w:rPr>
        <w:t xml:space="preserve">как предотвращается двойной учёт между каналами;</w:t>
      </w:r>
    </w:p>
    <w:p>
      <w:pPr>
        <w:pStyle w:val="ListBullet"/>
        <w:widowControl/>
        <w:numPr>
          <w:ilvl w:val="0"/>
          <w:numId w:val="1011"/>
        </w:numPr>
        <w:spacing w:after="70"/>
      </w:pPr>
      <w:r>
        <w:rPr>
          <w:rFonts w:ascii="Carlito" w:hAnsi="Carlito" w:eastAsia="Carlito"/>
        </w:rPr>
        <w:t xml:space="preserve">как осуществляется сверка, пересчёт и восстановление;</w:t>
      </w:r>
    </w:p>
    <w:p>
      <w:pPr>
        <w:pStyle w:val="ListBullet"/>
        <w:widowControl/>
        <w:numPr>
          <w:ilvl w:val="0"/>
          <w:numId w:val="1011"/>
        </w:numPr>
        <w:spacing w:after="70"/>
      </w:pPr>
      <w:r>
        <w:rPr>
          <w:rFonts w:ascii="Carlito" w:hAnsi="Carlito" w:eastAsia="Carlito"/>
        </w:rPr>
        <w:t xml:space="preserve">какие расхождения требуют локального исправления, полного пересчёта или повторного голосования;</w:t>
      </w:r>
    </w:p>
    <w:p>
      <w:pPr>
        <w:pStyle w:val="ListBullet"/>
        <w:widowControl/>
        <w:numPr>
          <w:ilvl w:val="0"/>
          <w:numId w:val="1011"/>
        </w:numPr>
        <w:spacing w:after="70"/>
      </w:pPr>
      <w:r>
        <w:rPr>
          <w:rFonts w:ascii="Carlito" w:hAnsi="Carlito" w:eastAsia="Carlito"/>
        </w:rPr>
        <w:t xml:space="preserve">какие данные создаются, кем хранятся и когда уничтожаются;</w:t>
      </w:r>
    </w:p>
    <w:p>
      <w:pPr>
        <w:pStyle w:val="ListBullet"/>
        <w:widowControl/>
        <w:numPr>
          <w:ilvl w:val="0"/>
          <w:numId w:val="1011"/>
        </w:numPr>
        <w:spacing w:after="70"/>
      </w:pPr>
      <w:r>
        <w:rPr>
          <w:rFonts w:ascii="Carlito" w:hAnsi="Carlito" w:eastAsia="Carlito"/>
        </w:rPr>
        <w:t xml:space="preserve">как гражданин проверяет включение своего действия, не раскрывая его содержание третьему лицу.</w:t>
      </w:r>
    </w:p>
    <w:p>
      <w:pPr>
        <w:pStyle w:val="FirstParagraph"/>
        <w:widowControl/>
      </w:pPr>
      <w:r>
        <w:rPr>
          <w:rFonts w:ascii="Carlito" w:hAnsi="Carlito" w:eastAsia="Carlito"/>
        </w:rPr>
        <w:t xml:space="preserve">В первых пилотах приоритет отдаётся проверяемому очному или бумажному контуру. Удалённое голосование по юридически значимому результату допускается только после независимой сертификации, атаковых тестов и проверки риска принуждения.</w:t>
      </w:r>
    </w:p>
    <w:bookmarkEnd w:id="43"/>
    <w:bookmarkStart w:id="44" w:name="X72b7f88c35e63aae632f45950d90dfc73fbafc3"/>
    <w:p>
      <w:pPr>
        <w:pStyle w:val="Heading2"/>
        <w:keepNext/>
        <w:keepLines/>
        <w:widowControl/>
      </w:pPr>
      <w:r>
        <w:rPr>
          <w:rFonts w:ascii="Carlito" w:hAnsi="Carlito" w:eastAsia="Carlito"/>
        </w:rPr>
        <w:t xml:space="preserve">16. Тайна, свобода и защита от принуждения</w:t>
      </w:r>
    </w:p>
    <w:p>
      <w:pPr>
        <w:pStyle w:val="FirstParagraph"/>
        <w:widowControl/>
      </w:pPr>
      <w:r>
        <w:rPr>
          <w:rFonts w:ascii="Carlito" w:hAnsi="Carlito" w:eastAsia="Carlito"/>
        </w:rPr>
        <w:t xml:space="preserve">Тайна распространяется не только на содержание финального голоса, но и на возможность восстановить индивидуальную историю политического участия через время, устройство, сеть, место, журнал поддержки или объединение реестров.</w:t>
      </w:r>
    </w:p>
    <w:p>
      <w:pPr>
        <w:keepNext/>
        <w:widowControl/>
      </w:pPr>
      <w:r>
        <w:rPr>
          <w:rFonts w:ascii="Carlito" w:hAnsi="Carlito" w:eastAsia="Carlito"/>
        </w:rPr>
        <w:t xml:space="preserve">Система обязана:</w:t>
      </w:r>
    </w:p>
    <w:p>
      <w:pPr>
        <w:pStyle w:val="ListBullet"/>
        <w:widowControl/>
        <w:numPr>
          <w:ilvl w:val="0"/>
          <w:numId w:val="1012"/>
        </w:numPr>
        <w:spacing w:after="70"/>
      </w:pPr>
      <w:r>
        <w:rPr>
          <w:rFonts w:ascii="Carlito" w:hAnsi="Carlito" w:eastAsia="Carlito"/>
        </w:rPr>
        <w:t xml:space="preserve">разделять идентификацию, право участия и политическое действие;</w:t>
      </w:r>
    </w:p>
    <w:p>
      <w:pPr>
        <w:pStyle w:val="ListBullet"/>
        <w:widowControl/>
        <w:numPr>
          <w:ilvl w:val="0"/>
          <w:numId w:val="1012"/>
        </w:numPr>
        <w:spacing w:after="70"/>
      </w:pPr>
      <w:r>
        <w:rPr>
          <w:rFonts w:ascii="Carlito" w:hAnsi="Carlito" w:eastAsia="Carlito"/>
        </w:rPr>
        <w:t xml:space="preserve">не выдавать передаваемое доказательство выбора;</w:t>
      </w:r>
    </w:p>
    <w:p>
      <w:pPr>
        <w:pStyle w:val="ListBullet"/>
        <w:widowControl/>
        <w:numPr>
          <w:ilvl w:val="0"/>
          <w:numId w:val="1012"/>
        </w:numPr>
        <w:spacing w:after="70"/>
      </w:pPr>
      <w:r>
        <w:rPr>
          <w:rFonts w:ascii="Carlito" w:hAnsi="Carlito" w:eastAsia="Carlito"/>
        </w:rPr>
        <w:t xml:space="preserve">минимизировать журналы и исключать общие идентификаторы;</w:t>
      </w:r>
    </w:p>
    <w:p>
      <w:pPr>
        <w:pStyle w:val="ListBullet"/>
        <w:widowControl/>
        <w:numPr>
          <w:ilvl w:val="0"/>
          <w:numId w:val="1012"/>
        </w:numPr>
        <w:spacing w:after="70"/>
      </w:pPr>
      <w:r>
        <w:rPr>
          <w:rFonts w:ascii="Carlito" w:hAnsi="Carlito" w:eastAsia="Carlito"/>
        </w:rPr>
        <w:t xml:space="preserve">защищать гражданина от наблюдения работодателя, семьи, администрации и посредника;</w:t>
      </w:r>
    </w:p>
    <w:p>
      <w:pPr>
        <w:pStyle w:val="ListBullet"/>
        <w:widowControl/>
        <w:numPr>
          <w:ilvl w:val="0"/>
          <w:numId w:val="1012"/>
        </w:numPr>
        <w:spacing w:after="70"/>
      </w:pPr>
      <w:r>
        <w:rPr>
          <w:rFonts w:ascii="Carlito" w:hAnsi="Carlito" w:eastAsia="Carlito"/>
        </w:rPr>
        <w:t xml:space="preserve">предоставлять безопасный очный канал при риске домашнего принуждения;</w:t>
      </w:r>
    </w:p>
    <w:p>
      <w:pPr>
        <w:pStyle w:val="ListBullet"/>
        <w:widowControl/>
        <w:numPr>
          <w:ilvl w:val="0"/>
          <w:numId w:val="1012"/>
        </w:numPr>
        <w:spacing w:after="70"/>
      </w:pPr>
      <w:r>
        <w:rPr>
          <w:rFonts w:ascii="Carlito" w:hAnsi="Carlito" w:eastAsia="Carlito"/>
        </w:rPr>
        <w:t xml:space="preserve">не делать вывод о позиции из факта обращения за помощью, жалобы или использования конкретного канала.</w:t>
      </w:r>
    </w:p>
    <w:p>
      <w:pPr>
        <w:pStyle w:val="FirstParagraph"/>
        <w:widowControl/>
      </w:pPr>
      <w:r>
        <w:rPr>
          <w:rFonts w:ascii="Carlito" w:hAnsi="Carlito" w:eastAsia="Carlito"/>
        </w:rPr>
        <w:t xml:space="preserve">Доктрина не обещает абсолютную анонимность при любой технической и политической среде. Неустранимые риски метаданных и удалённого принуждения раскрываются до внедрения; при превышении допустимого риска соответствующий канал не используется.</w:t>
      </w:r>
    </w:p>
    <w:bookmarkEnd w:id="44"/>
    <w:bookmarkStart w:id="45" w:name="X4e8510470f18270b9b6f86f23353b13d70829c8"/>
    <w:p>
      <w:pPr>
        <w:pStyle w:val="Heading2"/>
        <w:keepNext/>
        <w:keepLines/>
        <w:widowControl/>
      </w:pPr>
      <w:r>
        <w:rPr>
          <w:rFonts w:ascii="Carlito" w:hAnsi="Carlito" w:eastAsia="Carlito"/>
        </w:rPr>
        <w:t xml:space="preserve">17. Подсчёт, протоколы и воспроизводимость</w:t>
      </w:r>
    </w:p>
    <w:p>
      <w:pPr>
        <w:pStyle w:val="FirstParagraph"/>
        <w:widowControl/>
      </w:pPr>
      <w:r>
        <w:rPr>
          <w:rFonts w:ascii="Carlito" w:hAnsi="Carlito" w:eastAsia="Carlito"/>
        </w:rPr>
        <w:t xml:space="preserve">Подсчёт строится так, чтобы независимый наблюдатель мог воспроизвести переход от участковых или первичных данных к общему итогу без доступа к индивидуальному выбору.</w:t>
      </w:r>
    </w:p>
    <w:p>
      <w:pPr>
        <w:keepNext/>
        <w:widowControl/>
      </w:pPr>
      <w:r>
        <w:rPr>
          <w:rFonts w:ascii="Carlito" w:hAnsi="Carlito" w:eastAsia="Carlito"/>
        </w:rPr>
        <w:t xml:space="preserve">Обязательны:</w:t>
      </w:r>
    </w:p>
    <w:p>
      <w:pPr>
        <w:pStyle w:val="ListBullet"/>
        <w:widowControl/>
        <w:numPr>
          <w:ilvl w:val="0"/>
          <w:numId w:val="1013"/>
        </w:numPr>
        <w:spacing w:after="70"/>
      </w:pPr>
      <w:r>
        <w:rPr>
          <w:rFonts w:ascii="Carlito" w:hAnsi="Carlito" w:eastAsia="Carlito"/>
        </w:rPr>
        <w:t xml:space="preserve">публичные первичные протоколы в машиночитаемой и человекочитаемой форме;</w:t>
      </w:r>
    </w:p>
    <w:p>
      <w:pPr>
        <w:pStyle w:val="ListBullet"/>
        <w:widowControl/>
        <w:numPr>
          <w:ilvl w:val="0"/>
          <w:numId w:val="1013"/>
        </w:numPr>
        <w:spacing w:after="70"/>
      </w:pPr>
      <w:r>
        <w:rPr>
          <w:rFonts w:ascii="Carlito" w:hAnsi="Carlito" w:eastAsia="Carlito"/>
        </w:rPr>
        <w:t xml:space="preserve">защищённая цепочка сохранности материальных носителей;</w:t>
      </w:r>
    </w:p>
    <w:p>
      <w:pPr>
        <w:pStyle w:val="ListBullet"/>
        <w:widowControl/>
        <w:numPr>
          <w:ilvl w:val="0"/>
          <w:numId w:val="1013"/>
        </w:numPr>
        <w:spacing w:after="70"/>
      </w:pPr>
      <w:r>
        <w:rPr>
          <w:rFonts w:ascii="Carlito" w:hAnsi="Carlito" w:eastAsia="Carlito"/>
        </w:rPr>
        <w:t xml:space="preserve">открытые спецификации формул и программных компонентов подсчёта;</w:t>
      </w:r>
    </w:p>
    <w:p>
      <w:pPr>
        <w:pStyle w:val="ListBullet"/>
        <w:widowControl/>
        <w:numPr>
          <w:ilvl w:val="0"/>
          <w:numId w:val="1013"/>
        </w:numPr>
        <w:spacing w:after="70"/>
      </w:pPr>
      <w:r>
        <w:rPr>
          <w:rFonts w:ascii="Carlito" w:hAnsi="Carlito" w:eastAsia="Carlito"/>
        </w:rPr>
        <w:t xml:space="preserve">разделение оператора, подсчёта, аудита и сертификации;</w:t>
      </w:r>
    </w:p>
    <w:p>
      <w:pPr>
        <w:pStyle w:val="ListBullet"/>
        <w:widowControl/>
        <w:numPr>
          <w:ilvl w:val="0"/>
          <w:numId w:val="1013"/>
        </w:numPr>
        <w:spacing w:after="70"/>
      </w:pPr>
      <w:r>
        <w:rPr>
          <w:rFonts w:ascii="Carlito" w:hAnsi="Carlito" w:eastAsia="Carlito"/>
        </w:rPr>
        <w:t xml:space="preserve">ручной либо иной независимый контрольный пересчёт;</w:t>
      </w:r>
    </w:p>
    <w:p>
      <w:pPr>
        <w:pStyle w:val="ListBullet"/>
        <w:widowControl/>
        <w:numPr>
          <w:ilvl w:val="0"/>
          <w:numId w:val="1013"/>
        </w:numPr>
        <w:spacing w:after="70"/>
      </w:pPr>
      <w:r>
        <w:rPr>
          <w:rFonts w:ascii="Carlito" w:hAnsi="Carlito" w:eastAsia="Carlito"/>
        </w:rPr>
        <w:t xml:space="preserve">аудит, ограничивающий риск, где он методологически применим;</w:t>
      </w:r>
    </w:p>
    <w:p>
      <w:pPr>
        <w:pStyle w:val="ListBullet"/>
        <w:widowControl/>
        <w:numPr>
          <w:ilvl w:val="0"/>
          <w:numId w:val="1013"/>
        </w:numPr>
        <w:spacing w:after="70"/>
      </w:pPr>
      <w:r>
        <w:rPr>
          <w:rFonts w:ascii="Carlito" w:hAnsi="Carlito" w:eastAsia="Carlito"/>
        </w:rPr>
        <w:t xml:space="preserve">автоматический полный пересчёт при заранее установленной близости результата или существенной аномалии;</w:t>
      </w:r>
    </w:p>
    <w:p>
      <w:pPr>
        <w:pStyle w:val="ListBullet"/>
        <w:widowControl/>
        <w:numPr>
          <w:ilvl w:val="0"/>
          <w:numId w:val="1013"/>
        </w:numPr>
        <w:spacing w:after="70"/>
      </w:pPr>
      <w:r>
        <w:rPr>
          <w:rFonts w:ascii="Carlito" w:hAnsi="Carlito" w:eastAsia="Carlito"/>
        </w:rPr>
        <w:t xml:space="preserve">публикация всех исправлений без перезаписи первоначального протокола.</w:t>
      </w:r>
    </w:p>
    <w:bookmarkEnd w:id="45"/>
    <w:bookmarkStart w:id="46" w:name="Xd7ab9834c9b10c6d80c1b599323dca5df80789c"/>
    <w:p>
      <w:pPr>
        <w:pStyle w:val="Heading2"/>
        <w:keepNext/>
        <w:keepLines/>
        <w:widowControl/>
      </w:pPr>
      <w:r>
        <w:rPr>
          <w:rFonts w:ascii="Carlito" w:hAnsi="Carlito" w:eastAsia="Carlito"/>
        </w:rPr>
        <w:t xml:space="preserve">18. Наблюдение и независимый аудит</w:t>
      </w:r>
    </w:p>
    <w:p>
      <w:pPr>
        <w:pStyle w:val="FirstParagraph"/>
        <w:widowControl/>
      </w:pPr>
      <w:r>
        <w:rPr>
          <w:rFonts w:ascii="Carlito" w:hAnsi="Carlito" w:eastAsia="Carlito"/>
        </w:rPr>
        <w:t xml:space="preserve">Наблюдение обеспечивается представителям различных политических позиций, гражданским организациям, научным и техническим аудиторам в объёме, совместимом с тайной и безопасностью. Ни один наблюдатель не получает доступ к данным, позволяющим восстановить индивидуальный выбор.</w:t>
      </w:r>
    </w:p>
    <w:p>
      <w:pPr>
        <w:widowControl/>
      </w:pPr>
      <w:r>
        <w:rPr>
          <w:rFonts w:ascii="Carlito" w:hAnsi="Carlito" w:eastAsia="Carlito"/>
        </w:rPr>
        <w:t xml:space="preserve">Аудитор не может одновременно разрабатывать критический компонент, эксплуатировать его и подтверждать собственную корректность. Заключение включает метод, выборку, обнаруженные несоответствия, ограничения проверки и условия, при которых результат не может считаться воспроизводимым.</w:t>
      </w:r>
    </w:p>
    <w:bookmarkEnd w:id="46"/>
    <w:bookmarkStart w:id="47" w:name="X945306a8e0fbe4586044a7f344edb19726397e3"/>
    <w:p>
      <w:pPr>
        <w:pStyle w:val="Heading2"/>
        <w:keepNext/>
        <w:keepLines/>
        <w:widowControl/>
      </w:pPr>
      <w:r>
        <w:rPr>
          <w:rFonts w:ascii="Carlito" w:hAnsi="Carlito" w:eastAsia="Carlito"/>
        </w:rPr>
        <w:t xml:space="preserve">19. Жалобы и единое окно контроля</w:t>
      </w:r>
    </w:p>
    <w:p>
      <w:pPr>
        <w:pStyle w:val="FirstParagraph"/>
        <w:widowControl/>
      </w:pPr>
      <w:r>
        <w:rPr>
          <w:rFonts w:ascii="Carlito" w:hAnsi="Carlito" w:eastAsia="Carlito"/>
        </w:rPr>
        <w:t xml:space="preserve">Споры о формулировке, объединении, правовой допустимости, информационном пакете, форме вопроса и включении в бюллетень разрешаются до голосования в едином ускоренном окне. После замораживания бюллетеня повторное оспаривание того же основания допускается только при новой существенной информации или сокрытом нарушении.</w:t>
      </w:r>
    </w:p>
    <w:p>
      <w:pPr>
        <w:keepNext/>
        <w:widowControl/>
      </w:pPr>
      <w:r>
        <w:rPr>
          <w:rFonts w:ascii="Carlito" w:hAnsi="Carlito" w:eastAsia="Carlito"/>
        </w:rPr>
        <w:t xml:space="preserve">После голосования рассматриваются жалобы на:</w:t>
      </w:r>
    </w:p>
    <w:p>
      <w:pPr>
        <w:pStyle w:val="ListBullet"/>
        <w:widowControl/>
        <w:numPr>
          <w:ilvl w:val="0"/>
          <w:numId w:val="1014"/>
        </w:numPr>
        <w:spacing w:after="70"/>
      </w:pPr>
      <w:r>
        <w:rPr>
          <w:rFonts w:ascii="Carlito" w:hAnsi="Carlito" w:eastAsia="Carlito"/>
        </w:rPr>
        <w:t xml:space="preserve">лишение права участия или неравный доступ;</w:t>
      </w:r>
    </w:p>
    <w:p>
      <w:pPr>
        <w:pStyle w:val="ListBullet"/>
        <w:widowControl/>
        <w:numPr>
          <w:ilvl w:val="0"/>
          <w:numId w:val="1014"/>
        </w:numPr>
        <w:spacing w:after="70"/>
      </w:pPr>
      <w:r>
        <w:rPr>
          <w:rFonts w:ascii="Carlito" w:hAnsi="Carlito" w:eastAsia="Carlito"/>
        </w:rPr>
        <w:t xml:space="preserve">нарушение тайны или принуждение;</w:t>
      </w:r>
    </w:p>
    <w:p>
      <w:pPr>
        <w:pStyle w:val="ListBullet"/>
        <w:widowControl/>
        <w:numPr>
          <w:ilvl w:val="0"/>
          <w:numId w:val="1014"/>
        </w:numPr>
        <w:spacing w:after="70"/>
      </w:pPr>
      <w:r>
        <w:rPr>
          <w:rFonts w:ascii="Carlito" w:hAnsi="Carlito" w:eastAsia="Carlito"/>
        </w:rPr>
        <w:t xml:space="preserve">неправильный учёт, потерю или подмену носителей;</w:t>
      </w:r>
    </w:p>
    <w:p>
      <w:pPr>
        <w:pStyle w:val="ListBullet"/>
        <w:widowControl/>
        <w:numPr>
          <w:ilvl w:val="0"/>
          <w:numId w:val="1014"/>
        </w:numPr>
        <w:spacing w:after="70"/>
      </w:pPr>
      <w:r>
        <w:rPr>
          <w:rFonts w:ascii="Carlito" w:hAnsi="Carlito" w:eastAsia="Carlito"/>
        </w:rPr>
        <w:t xml:space="preserve">несоответствие опубликованных протоколов;</w:t>
      </w:r>
    </w:p>
    <w:p>
      <w:pPr>
        <w:pStyle w:val="ListBullet"/>
        <w:widowControl/>
        <w:numPr>
          <w:ilvl w:val="0"/>
          <w:numId w:val="1014"/>
        </w:numPr>
        <w:spacing w:after="70"/>
      </w:pPr>
      <w:r>
        <w:rPr>
          <w:rFonts w:ascii="Carlito" w:hAnsi="Carlito" w:eastAsia="Carlito"/>
        </w:rPr>
        <w:t xml:space="preserve">системный технический сбой;</w:t>
      </w:r>
    </w:p>
    <w:p>
      <w:pPr>
        <w:pStyle w:val="ListBullet"/>
        <w:widowControl/>
        <w:numPr>
          <w:ilvl w:val="0"/>
          <w:numId w:val="1014"/>
        </w:numPr>
        <w:spacing w:after="70"/>
      </w:pPr>
      <w:r>
        <w:rPr>
          <w:rFonts w:ascii="Carlito" w:hAnsi="Carlito" w:eastAsia="Carlito"/>
        </w:rPr>
        <w:t xml:space="preserve">несоблюдение правил аудита и пересчёта;</w:t>
      </w:r>
    </w:p>
    <w:p>
      <w:pPr>
        <w:pStyle w:val="ListBullet"/>
        <w:widowControl/>
        <w:numPr>
          <w:ilvl w:val="0"/>
          <w:numId w:val="1014"/>
        </w:numPr>
        <w:spacing w:after="70"/>
      </w:pPr>
      <w:r>
        <w:rPr>
          <w:rFonts w:ascii="Carlito" w:hAnsi="Carlito" w:eastAsia="Carlito"/>
        </w:rPr>
        <w:t xml:space="preserve">незаконное изменение порога или формулы;</w:t>
      </w:r>
    </w:p>
    <w:p>
      <w:pPr>
        <w:pStyle w:val="ListBullet"/>
        <w:widowControl/>
        <w:numPr>
          <w:ilvl w:val="0"/>
          <w:numId w:val="1014"/>
        </w:numPr>
        <w:spacing w:after="70"/>
      </w:pPr>
      <w:r>
        <w:rPr>
          <w:rFonts w:ascii="Carlito" w:hAnsi="Carlito" w:eastAsia="Carlito"/>
        </w:rPr>
        <w:t xml:space="preserve">иное нарушение, способное повлиять на результат или доверие к нему.</w:t>
      </w:r>
    </w:p>
    <w:p>
      <w:pPr>
        <w:pStyle w:val="FirstParagraph"/>
        <w:widowControl/>
      </w:pPr>
      <w:r>
        <w:rPr>
          <w:rFonts w:ascii="Carlito" w:hAnsi="Carlito" w:eastAsia="Carlito"/>
        </w:rPr>
        <w:t xml:space="preserve">Сроки являются короткими, но реальными. Лицо получает доступ к необходимым доказательствам, мотивированное решение и эффективное средство защиты. Однородные требования консолидируются, чтобы жалобы не уничтожали календарную актуальность результата.</w:t>
      </w:r>
    </w:p>
    <w:bookmarkEnd w:id="47"/>
    <w:bookmarkStart w:id="48" w:name="Xeef5df9369f55575e7ab64c581d4230404cad02"/>
    <w:p>
      <w:pPr>
        <w:pStyle w:val="Heading2"/>
        <w:keepNext/>
        <w:keepLines/>
        <w:widowControl/>
      </w:pPr>
      <w:r>
        <w:rPr>
          <w:rFonts w:ascii="Carlito" w:hAnsi="Carlito" w:eastAsia="Carlito"/>
        </w:rPr>
        <w:t xml:space="preserve">20. Существенность нарушения и частичная действительность</w:t>
      </w:r>
    </w:p>
    <w:p>
      <w:pPr>
        <w:pStyle w:val="FirstParagraph"/>
        <w:widowControl/>
      </w:pPr>
      <w:r>
        <w:rPr>
          <w:rFonts w:ascii="Carlito" w:hAnsi="Carlito" w:eastAsia="Carlito"/>
        </w:rPr>
        <w:t xml:space="preserve">Нарушение считается существенным, если существует разумная вероятность, что без него изменился бы результат пункта, состав участников, свобода волеизъявления, возможность независимой проверки либо общественное доверие к общему контуру.</w:t>
      </w:r>
    </w:p>
    <w:p>
      <w:pPr>
        <w:keepNext/>
        <w:widowControl/>
      </w:pPr>
      <w:r>
        <w:rPr>
          <w:rFonts w:ascii="Carlito" w:hAnsi="Carlito" w:eastAsia="Carlito"/>
        </w:rPr>
        <w:t xml:space="preserve">Недействительность одного пункта не распространяется автоматически на другие. Частичная сертификация допускается, когда:</w:t>
      </w:r>
    </w:p>
    <w:p>
      <w:pPr>
        <w:pStyle w:val="ListBullet"/>
        <w:widowControl/>
        <w:numPr>
          <w:ilvl w:val="0"/>
          <w:numId w:val="1015"/>
        </w:numPr>
        <w:spacing w:after="70"/>
      </w:pPr>
      <w:r>
        <w:rPr>
          <w:rFonts w:ascii="Carlito" w:hAnsi="Carlito" w:eastAsia="Carlito"/>
        </w:rPr>
        <w:t xml:space="preserve">формулировки и подсчёт разделены;</w:t>
      </w:r>
    </w:p>
    <w:p>
      <w:pPr>
        <w:pStyle w:val="ListBullet"/>
        <w:widowControl/>
        <w:numPr>
          <w:ilvl w:val="0"/>
          <w:numId w:val="1015"/>
        </w:numPr>
        <w:spacing w:after="70"/>
      </w:pPr>
      <w:r>
        <w:rPr>
          <w:rFonts w:ascii="Carlito" w:hAnsi="Carlito" w:eastAsia="Carlito"/>
        </w:rPr>
        <w:t xml:space="preserve">общий контур идентификации и тайны не скомпрометирован;</w:t>
      </w:r>
    </w:p>
    <w:p>
      <w:pPr>
        <w:pStyle w:val="ListBullet"/>
        <w:widowControl/>
        <w:numPr>
          <w:ilvl w:val="0"/>
          <w:numId w:val="1015"/>
        </w:numPr>
        <w:spacing w:after="70"/>
      </w:pPr>
      <w:r>
        <w:rPr>
          <w:rFonts w:ascii="Carlito" w:hAnsi="Carlito" w:eastAsia="Carlito"/>
        </w:rPr>
        <w:t xml:space="preserve">ошибка не повлияла на участие по всему бюллетеню;</w:t>
      </w:r>
    </w:p>
    <w:p>
      <w:pPr>
        <w:pStyle w:val="ListBullet"/>
        <w:widowControl/>
        <w:numPr>
          <w:ilvl w:val="0"/>
          <w:numId w:val="1015"/>
        </w:numPr>
        <w:spacing w:after="70"/>
      </w:pPr>
      <w:r>
        <w:rPr>
          <w:rFonts w:ascii="Carlito" w:hAnsi="Carlito" w:eastAsia="Carlito"/>
        </w:rPr>
        <w:t xml:space="preserve">результат остальных пунктов воспроизводим;</w:t>
      </w:r>
    </w:p>
    <w:p>
      <w:pPr>
        <w:pStyle w:val="ListBullet"/>
        <w:widowControl/>
        <w:numPr>
          <w:ilvl w:val="0"/>
          <w:numId w:val="1015"/>
        </w:numPr>
        <w:spacing w:after="70"/>
      </w:pPr>
      <w:r>
        <w:rPr>
          <w:rFonts w:ascii="Carlito" w:hAnsi="Carlito" w:eastAsia="Carlito"/>
        </w:rPr>
        <w:t xml:space="preserve">проведение частичного повтора не искажает равенство кампании.</w:t>
      </w:r>
    </w:p>
    <w:p>
      <w:pPr>
        <w:pStyle w:val="FirstParagraph"/>
        <w:widowControl/>
      </w:pPr>
      <w:r>
        <w:rPr>
          <w:rFonts w:ascii="Carlito" w:hAnsi="Carlito" w:eastAsia="Carlito"/>
        </w:rPr>
        <w:t xml:space="preserve">Если скомпрометирован общий реестр допуска, тайна, программная сборка, цепочка сохранности либо равенство каналов, вопрос о недействительности решается для всего затронутого объёма, а не маскируется локальным исправлением.</w:t>
      </w:r>
    </w:p>
    <w:bookmarkEnd w:id="48"/>
    <w:bookmarkStart w:id="49" w:name="X5a8a4f72d8f43b857826c84cf8a5db24b6eb344"/>
    <w:p>
      <w:pPr>
        <w:widowControl/>
      </w:pPr>
      <w:r>
        <w:t>Сертификация возможна только при наличии кворума институциональной независимости и критической инфраструктурной независимости. При их утрате результат публикуется лишь как оспариваемый неофициальный массив данных.</w:t>
      </w:r>
    </w:p>
    <w:p>
      <w:pPr>
        <w:widowControl/>
      </w:pPr>
      <w:r>
        <w:t>Исправление официального описания ограничивается проверяемыми сведениями: текстом, числовым результатом, правовым статусом и источником. Политические выводы, метафоры и оценки не получают официальной маркировки истинности.</w:t>
      </w:r>
    </w:p>
    <w:p>
      <w:pPr>
        <w:pStyle w:val="Heading2"/>
        <w:keepNext/>
        <w:keepLines/>
        <w:widowControl/>
      </w:pPr>
      <w:r>
        <w:rPr>
          <w:rFonts w:ascii="Carlito" w:hAnsi="Carlito" w:eastAsia="Carlito"/>
        </w:rPr>
        <w:t xml:space="preserve">21. Сертификация результата</w:t>
      </w:r>
    </w:p>
    <w:p>
      <w:pPr>
        <w:pStyle w:val="FirstParagraph"/>
        <w:widowControl/>
      </w:pPr>
      <w:r>
        <w:rPr>
          <w:rFonts w:ascii="Carlito" w:hAnsi="Carlito" w:eastAsia="Carlito"/>
        </w:rPr>
        <w:t xml:space="preserve">Сертификация удостоверяет факт действительного голосования и его доказанный результат. Она не является политическим одобрением инициативы.</w:t>
      </w:r>
    </w:p>
    <w:p>
      <w:pPr>
        <w:keepNext/>
        <w:widowControl/>
      </w:pPr>
      <w:r>
        <w:rPr>
          <w:rFonts w:ascii="Carlito" w:hAnsi="Carlito" w:eastAsia="Carlito"/>
        </w:rPr>
        <w:t xml:space="preserve">Сертифицирующий субъект обязан:</w:t>
      </w:r>
    </w:p>
    <w:p>
      <w:pPr>
        <w:pStyle w:val="ListBullet"/>
        <w:widowControl/>
        <w:numPr>
          <w:ilvl w:val="0"/>
          <w:numId w:val="1016"/>
        </w:numPr>
        <w:spacing w:after="70"/>
      </w:pPr>
      <w:r>
        <w:rPr>
          <w:rFonts w:ascii="Carlito" w:hAnsi="Carlito" w:eastAsia="Carlito"/>
        </w:rPr>
        <w:t xml:space="preserve">проверить завершение обязательных аудитов и разрешение приостанавливающих жалоб;</w:t>
      </w:r>
    </w:p>
    <w:p>
      <w:pPr>
        <w:pStyle w:val="ListBullet"/>
        <w:widowControl/>
        <w:numPr>
          <w:ilvl w:val="0"/>
          <w:numId w:val="1016"/>
        </w:numPr>
        <w:spacing w:after="70"/>
      </w:pPr>
      <w:r>
        <w:rPr>
          <w:rFonts w:ascii="Carlito" w:hAnsi="Carlito" w:eastAsia="Carlito"/>
        </w:rPr>
        <w:t xml:space="preserve">удостоверить формулу и исходные протоколы;</w:t>
      </w:r>
    </w:p>
    <w:p>
      <w:pPr>
        <w:pStyle w:val="ListBullet"/>
        <w:widowControl/>
        <w:numPr>
          <w:ilvl w:val="0"/>
          <w:numId w:val="1016"/>
        </w:numPr>
        <w:spacing w:after="70"/>
      </w:pPr>
      <w:r>
        <w:rPr>
          <w:rFonts w:ascii="Carlito" w:hAnsi="Carlito" w:eastAsia="Carlito"/>
        </w:rPr>
        <w:t xml:space="preserve">указать все оговорки и частично оспариваемые элементы;</w:t>
      </w:r>
    </w:p>
    <w:p>
      <w:pPr>
        <w:pStyle w:val="ListBullet"/>
        <w:widowControl/>
        <w:numPr>
          <w:ilvl w:val="0"/>
          <w:numId w:val="1016"/>
        </w:numPr>
        <w:spacing w:after="70"/>
      </w:pPr>
      <w:r>
        <w:rPr>
          <w:rFonts w:ascii="Carlito" w:hAnsi="Carlito" w:eastAsia="Carlito"/>
        </w:rPr>
        <w:t xml:space="preserve">сертифицировать неоспоримые пункты без необоснованного ожидания по другим;</w:t>
      </w:r>
    </w:p>
    <w:p>
      <w:pPr>
        <w:pStyle w:val="ListBullet"/>
        <w:widowControl/>
        <w:numPr>
          <w:ilvl w:val="0"/>
          <w:numId w:val="1016"/>
        </w:numPr>
        <w:spacing w:after="70"/>
      </w:pPr>
      <w:r>
        <w:rPr>
          <w:rFonts w:ascii="Carlito" w:hAnsi="Carlito" w:eastAsia="Carlito"/>
        </w:rPr>
        <w:t xml:space="preserve">опубликовать мотивировку отказа или отсрочки;</w:t>
      </w:r>
    </w:p>
    <w:p>
      <w:pPr>
        <w:pStyle w:val="ListBullet"/>
        <w:widowControl/>
        <w:numPr>
          <w:ilvl w:val="0"/>
          <w:numId w:val="1016"/>
        </w:numPr>
        <w:spacing w:after="70"/>
      </w:pPr>
      <w:r>
        <w:rPr>
          <w:rFonts w:ascii="Carlito" w:hAnsi="Carlito" w:eastAsia="Carlito"/>
        </w:rPr>
        <w:t xml:space="preserve">передать неизменяемый результат в публичный архив и реестр общественных мандатов.</w:t>
      </w:r>
    </w:p>
    <w:p>
      <w:pPr>
        <w:pStyle w:val="FirstParagraph"/>
        <w:widowControl/>
      </w:pPr>
      <w:r>
        <w:rPr>
          <w:rFonts w:ascii="Carlito" w:hAnsi="Carlito" w:eastAsia="Carlito"/>
        </w:rPr>
        <w:t xml:space="preserve">Отказ по политической нецелесообразности, предполагаемой дороговизне, недовольству власти или несогласию с целью незаконен. Решение подлежит ускоренному судебному контролю.</w:t>
      </w:r>
    </w:p>
    <w:bookmarkEnd w:id="49"/>
    <w:bookmarkStart w:id="50" w:name="X6416e3757fd5d4b0e2280f6cf9e6845ea94bd20"/>
    <w:p>
      <w:pPr>
        <w:pStyle w:val="Heading2"/>
        <w:keepNext/>
        <w:keepLines/>
        <w:widowControl/>
      </w:pPr>
      <w:r>
        <w:rPr>
          <w:rFonts w:ascii="Carlito" w:hAnsi="Carlito" w:eastAsia="Carlito"/>
        </w:rPr>
        <w:t xml:space="preserve">22. Момент утверждения и формирование поручения</w:t>
      </w:r>
    </w:p>
    <w:p>
      <w:pPr>
        <w:pStyle w:val="FirstParagraph"/>
        <w:widowControl/>
      </w:pPr>
      <w:r>
        <w:rPr>
          <w:rFonts w:ascii="Carlito" w:hAnsi="Carlito" w:eastAsia="Carlito"/>
        </w:rPr>
        <w:t xml:space="preserve">Отдельный пункт считается утверждённым после наступления всех условий: действительное голосование, достижение большинства и абсолютного порога, завершение обязательного аудита, разрешение приостанавливающих жалоб и сертификация.</w:t>
      </w:r>
    </w:p>
    <w:p>
      <w:pPr>
        <w:widowControl/>
      </w:pPr>
      <w:r>
        <w:rPr>
          <w:rFonts w:ascii="Carlito" w:hAnsi="Carlito" w:eastAsia="Carlito"/>
        </w:rPr>
        <w:t xml:space="preserve">Общественное поручение соответствующего цикла считается сформированным с момента сертификации хотя бы одного пункта либо с иной заранее определённой даты после завершения частичной сертификации. Незаполненная вместимость не заполняется органом, кандидатами или экспертами по собственному усмотрению.</w:t>
      </w:r>
    </w:p>
    <w:p>
      <w:pPr>
        <w:widowControl/>
      </w:pPr>
      <w:r>
        <w:rPr>
          <w:rFonts w:ascii="Carlito" w:hAnsi="Carlito" w:eastAsia="Carlito"/>
        </w:rPr>
        <w:t xml:space="preserve">Пункты, не получившие утверждения, сохраняются в архиве со всеми данными, но не включаются в общественный мандат и не запускают обязательный кандидатский режим. Они могут быть повторно внесены в следующем цикле только через установленную процедуру.</w:t>
      </w:r>
    </w:p>
    <w:bookmarkEnd w:id="50"/>
    <w:bookmarkStart w:id="51" w:name="X992085805ee57c101bd9bdb147b3a4589d617c3"/>
    <w:p>
      <w:pPr>
        <w:pStyle w:val="Heading2"/>
        <w:keepNext/>
        <w:keepLines/>
        <w:widowControl/>
      </w:pPr>
      <w:r>
        <w:rPr>
          <w:rFonts w:ascii="Carlito" w:hAnsi="Carlito" w:eastAsia="Carlito"/>
        </w:rPr>
        <w:t xml:space="preserve">23. Чрезвычайные обстоятельства и технический инцидент</w:t>
      </w:r>
    </w:p>
    <w:tbl>
      <w:tblPr>
        <w:tblStyle w:val="TableGrid"/>
        <w:tblW w:type="dxa" w:w="9650"/>
        <w:jc w:val="center"/>
        <w:tblLayout w:type="fixed"/>
        <w:tblLook w:firstRow="1" w:lastRow="0" w:firstColumn="0" w:lastColumn="0" w:noHBand="0" w:noVBand="0" w:val="0020"/>
      </w:tblPr>
      <w:tblGrid>
        <w:gridCol w:w="1800"/>
        <w:gridCol w:w="3900"/>
        <w:gridCol w:w="3950"/>
      </w:tblGrid>
      <w:tr>
        <w:trPr>
          <w:tblHeader w:val="true"/>
          <w:cantSplit/>
          <w:tblHeader w:val="true"/>
        </w:trPr>
        <w:tc>
          <w:tcPr>
            <w:tcW w:w="180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Ситуация</w:t>
            </w:r>
          </w:p>
        </w:tc>
        <w:tc>
          <w:tcPr>
            <w:tcW w:w="390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Немедленная мера</w:t>
            </w:r>
          </w:p>
        </w:tc>
        <w:tc>
          <w:tcPr>
            <w:tcW w:w="39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Окончательное решение</w:t>
            </w:r>
          </w:p>
        </w:tc>
      </w:tr>
      <w:tr>
        <w:trPr>
          <w:cantSplit/>
        </w:trPr>
        <w:tc>
          <w:tcPr>
            <w:tcW w:w="18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Локальный сбой без утраты данных</w:t>
            </w:r>
          </w:p>
        </w:tc>
        <w:tc>
          <w:tcPr>
            <w:tcW w:w="39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Изоляция участка или компонента, продление времени, независимая фиксация</w:t>
            </w:r>
          </w:p>
        </w:tc>
        <w:tc>
          <w:tcPr>
            <w:tcW w:w="39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Локальное восстановление или повтор затронутой операции</w:t>
            </w:r>
          </w:p>
        </w:tc>
      </w:tr>
      <w:tr>
        <w:trPr>
          <w:cantSplit/>
        </w:trPr>
        <w:tc>
          <w:tcPr>
            <w:tcW w:w="18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Расхождение электронного и контрольного контура</w:t>
            </w:r>
          </w:p>
        </w:tc>
        <w:tc>
          <w:tcPr>
            <w:tcW w:w="39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Приостановление публикации затронутого итога, сохранение журналов</w:t>
            </w:r>
          </w:p>
        </w:tc>
        <w:tc>
          <w:tcPr>
            <w:tcW w:w="39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Пересчёт по заранее объявленному источнику истины; при невозможности — повтор</w:t>
            </w:r>
          </w:p>
        </w:tc>
      </w:tr>
      <w:tr>
        <w:trPr>
          <w:cantSplit/>
        </w:trPr>
        <w:tc>
          <w:tcPr>
            <w:tcW w:w="18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Компрометация тайны или реестра допуска</w:t>
            </w:r>
          </w:p>
        </w:tc>
        <w:tc>
          <w:tcPr>
            <w:tcW w:w="39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Остановка затронутого канала, уведомление органа защиты данных и суда</w:t>
            </w:r>
          </w:p>
        </w:tc>
        <w:tc>
          <w:tcPr>
            <w:tcW w:w="39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Оценка масштаба, уничтожение опасных данных, повтор в безопасном канале</w:t>
            </w:r>
          </w:p>
        </w:tc>
      </w:tr>
      <w:tr>
        <w:trPr>
          <w:cantSplit/>
        </w:trPr>
        <w:tc>
          <w:tcPr>
            <w:tcW w:w="18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Информационная атака без доказанного изменения результата</w:t>
            </w:r>
          </w:p>
        </w:tc>
        <w:tc>
          <w:tcPr>
            <w:tcW w:w="39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Публикация проверяемых данных и независимых заключений</w:t>
            </w:r>
          </w:p>
        </w:tc>
        <w:tc>
          <w:tcPr>
            <w:tcW w:w="39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Сертификация по доказательствам; слух сам по себе не является основанием отмены</w:t>
            </w:r>
          </w:p>
        </w:tc>
      </w:tr>
      <w:tr>
        <w:trPr>
          <w:cantSplit/>
        </w:trPr>
        <w:tc>
          <w:tcPr>
            <w:tcW w:w="18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Чрезвычайное положение</w:t>
            </w:r>
          </w:p>
        </w:tc>
        <w:tc>
          <w:tcPr>
            <w:tcW w:w="39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Временная адаптация каналов при сохранении равенства и срока</w:t>
            </w:r>
          </w:p>
        </w:tc>
        <w:tc>
          <w:tcPr>
            <w:tcW w:w="39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Продление требует внешнего подтверждения; постоянное исключение офлайн-участия запрещено</w:t>
            </w:r>
          </w:p>
        </w:tc>
      </w:tr>
    </w:tbl>
    <w:bookmarkEnd w:id="51"/>
    <w:bookmarkStart w:id="52" w:name="Xb7fe807334886266c9723ca4f07e67bd248eaad"/>
    <w:p>
      <w:pPr>
        <w:widowControl/>
      </w:pPr>
      <w:r>
        <w:t>Все чрезвычайные решения включаются в единый реестр и учитываются в общем кумулятивном сроке фактического события. Изменение порогов, кандидатских правил и объёма связывающих данных в период чрезвычайности запрещено.</w:t>
      </w:r>
    </w:p>
    <w:p>
      <w:pPr>
        <w:widowControl/>
      </w:pPr>
      <w:r>
        <w:t>Перенос, частичное признание или повтор голосования требуют нескольких независимых подтверждений и не могут объявляться единолично оператором либо правительством.</w:t>
      </w:r>
    </w:p>
    <w:p>
      <w:pPr>
        <w:pStyle w:val="Heading2"/>
        <w:keepNext/>
        <w:keepLines/>
        <w:widowControl/>
      </w:pPr>
      <w:r>
        <w:rPr>
          <w:rFonts w:ascii="Carlito" w:hAnsi="Carlito" w:eastAsia="Carlito"/>
        </w:rPr>
        <w:t xml:space="preserve">24. Контроль и ответственность</w:t>
      </w:r>
    </w:p>
    <w:p>
      <w:pPr>
        <w:pStyle w:val="FirstParagraph"/>
        <w:widowControl/>
      </w:pPr>
      <w:r>
        <w:rPr>
          <w:rFonts w:ascii="Carlito" w:hAnsi="Carlito" w:eastAsia="Carlito"/>
        </w:rPr>
        <w:t xml:space="preserve">Ответственность наступает за фальсификацию, умышленное искажение вопроса или протокола, незаконный отказ в участии, нарушение тайны, повторную идентификацию, сокрытие инцидента, вмешательство в аудит, изменение порога, уничтожение доказательств и неисполнение судебного решения.</w:t>
      </w:r>
    </w:p>
    <w:p>
      <w:pPr>
        <w:widowControl/>
      </w:pPr>
      <w:r>
        <w:rPr>
          <w:rFonts w:ascii="Carlito" w:hAnsi="Carlito" w:eastAsia="Carlito"/>
        </w:rPr>
        <w:t xml:space="preserve">Добросовестная техническая ошибка оценивается по последствиям и качеству реагирования. Политическое несогласие с итогом не является правонарушением; попытка приписать результату несуществующую юридическую силу получает обязательное официальное исправление и может быть оспорена.</w:t>
      </w:r>
    </w:p>
    <w:bookmarkEnd w:id="52"/>
    <w:bookmarkStart w:id="53" w:name="Xab2007a0fb364c54e7e0fa5b1b28429fcbb8e19"/>
    <w:p>
      <w:pPr>
        <w:widowControl/>
      </w:pPr>
      <w:r>
        <w:t>Официальный перечень не исчерпывает повестку выборов. Кандидатам предоставляется равный официальный раздел для дополнительных приоритетов; порядок и дизайн не создают преимущества пунктам поручения сверх необходимого информирования о процедуре.</w:t>
      </w:r>
    </w:p>
    <w:p>
      <w:pPr>
        <w:pStyle w:val="Heading2"/>
        <w:keepNext/>
        <w:keepLines/>
        <w:widowControl/>
      </w:pPr>
      <w:r>
        <w:rPr>
          <w:rFonts w:ascii="Carlito" w:hAnsi="Carlito" w:eastAsia="Carlito"/>
        </w:rPr>
        <w:t xml:space="preserve">25. Специальные правила для пилота</w:t>
      </w:r>
    </w:p>
    <w:p>
      <w:pPr>
        <w:pStyle w:val="FirstParagraph"/>
        <w:widowControl/>
      </w:pPr>
      <w:r>
        <w:rPr>
          <w:rFonts w:ascii="Carlito" w:hAnsi="Carlito" w:eastAsia="Carlito"/>
        </w:rPr>
        <w:t xml:space="preserve">Первые пилоты проводятся с ограниченным числом вопросов, консультативным материальным эффектом, полноценным обязательным информационным и отчётным циклом, очным проверяемым каналом и автоматическим прекращением экспериментального режима.</w:t>
      </w:r>
    </w:p>
    <w:p>
      <w:pPr>
        <w:keepNext/>
        <w:widowControl/>
      </w:pPr>
      <w:r>
        <w:rPr>
          <w:rFonts w:ascii="Carlito" w:hAnsi="Carlito" w:eastAsia="Carlito"/>
        </w:rPr>
        <w:t xml:space="preserve">Переход к национальному финальному голосованию запрещается без независимого подтверждения:</w:t>
      </w:r>
    </w:p>
    <w:p>
      <w:pPr>
        <w:pStyle w:val="ListBullet"/>
        <w:widowControl/>
        <w:numPr>
          <w:ilvl w:val="0"/>
          <w:numId w:val="1017"/>
        </w:numPr>
        <w:spacing w:after="70"/>
      </w:pPr>
      <w:r>
        <w:rPr>
          <w:rFonts w:ascii="Carlito" w:hAnsi="Carlito" w:eastAsia="Carlito"/>
        </w:rPr>
        <w:t xml:space="preserve">понятности различий между общественным поручением, выборами и законом;</w:t>
      </w:r>
    </w:p>
    <w:p>
      <w:pPr>
        <w:pStyle w:val="ListBullet"/>
        <w:widowControl/>
        <w:numPr>
          <w:ilvl w:val="0"/>
          <w:numId w:val="1017"/>
        </w:numPr>
        <w:spacing w:after="70"/>
      </w:pPr>
      <w:r>
        <w:rPr>
          <w:rFonts w:ascii="Carlito" w:hAnsi="Carlito" w:eastAsia="Carlito"/>
        </w:rPr>
        <w:t xml:space="preserve">приемлемого уровня участия и отсутствия устойчивого исключения групп;</w:t>
      </w:r>
    </w:p>
    <w:p>
      <w:pPr>
        <w:pStyle w:val="ListBullet"/>
        <w:widowControl/>
        <w:numPr>
          <w:ilvl w:val="0"/>
          <w:numId w:val="1017"/>
        </w:numPr>
        <w:spacing w:after="70"/>
      </w:pPr>
      <w:r>
        <w:rPr>
          <w:rFonts w:ascii="Carlito" w:hAnsi="Carlito" w:eastAsia="Carlito"/>
        </w:rPr>
        <w:t xml:space="preserve">воспроизводимого подсчёта и защиты тайны;</w:t>
      </w:r>
    </w:p>
    <w:p>
      <w:pPr>
        <w:pStyle w:val="ListBullet"/>
        <w:widowControl/>
        <w:numPr>
          <w:ilvl w:val="0"/>
          <w:numId w:val="1017"/>
        </w:numPr>
        <w:spacing w:after="70"/>
      </w:pPr>
      <w:r>
        <w:rPr>
          <w:rFonts w:ascii="Carlito" w:hAnsi="Carlito" w:eastAsia="Carlito"/>
        </w:rPr>
        <w:t xml:space="preserve">способности разрешать жалобы до утраты календарной актуальности;</w:t>
      </w:r>
    </w:p>
    <w:p>
      <w:pPr>
        <w:pStyle w:val="ListBullet"/>
        <w:widowControl/>
        <w:numPr>
          <w:ilvl w:val="0"/>
          <w:numId w:val="1017"/>
        </w:numPr>
        <w:spacing w:after="70"/>
      </w:pPr>
      <w:r>
        <w:rPr>
          <w:rFonts w:ascii="Carlito" w:hAnsi="Carlito" w:eastAsia="Carlito"/>
        </w:rPr>
        <w:t xml:space="preserve">разумной стоимости по сравнению с более простыми институтами;</w:t>
      </w:r>
    </w:p>
    <w:p>
      <w:pPr>
        <w:pStyle w:val="ListBullet"/>
        <w:widowControl/>
        <w:numPr>
          <w:ilvl w:val="0"/>
          <w:numId w:val="1017"/>
        </w:numPr>
        <w:spacing w:after="70"/>
      </w:pPr>
      <w:r>
        <w:rPr>
          <w:rFonts w:ascii="Carlito" w:hAnsi="Carlito" w:eastAsia="Carlito"/>
        </w:rPr>
        <w:t xml:space="preserve">отсутствия снижения доверия к основным выборам.</w:t>
      </w:r>
    </w:p>
    <w:bookmarkEnd w:id="53"/>
    <w:bookmarkStart w:id="59" w:name="Xa017e13c9db3637c58081d3ce5836c81b5763bb"/>
    <w:p>
      <w:pPr>
        <w:pStyle w:val="Heading2"/>
        <w:keepNext/>
        <w:keepLines/>
        <w:widowControl/>
      </w:pPr>
      <w:r>
        <w:rPr>
          <w:rFonts w:ascii="Carlito" w:hAnsi="Carlito" w:eastAsia="Carlito"/>
        </w:rPr>
        <w:t xml:space="preserve">26. Наиболее сильные возражения и встроенные ответы</w:t>
      </w:r>
    </w:p>
    <w:bookmarkStart w:id="54" w:name="X878e1f869937ebf999078b0bd90401c44c49224"/>
    <w:p>
      <w:pPr>
        <w:pStyle w:val="Heading3"/>
        <w:keepNext/>
        <w:keepLines/>
        <w:widowControl/>
      </w:pPr>
      <w:r>
        <w:rPr>
          <w:rFonts w:ascii="Carlito" w:hAnsi="Carlito" w:eastAsia="Carlito"/>
        </w:rPr>
        <w:t xml:space="preserve">26.1. «Голосование остаётся дорогой консультацией»</w:t>
      </w:r>
    </w:p>
    <w:p>
      <w:pPr>
        <w:pStyle w:val="FirstParagraph"/>
        <w:widowControl/>
      </w:pPr>
      <w:r>
        <w:rPr>
          <w:rFonts w:ascii="Carlito" w:hAnsi="Carlito" w:eastAsia="Carlito"/>
        </w:rPr>
        <w:t xml:space="preserve">Возражение справедливо, если власть вправе просто принять результат к сведению.</w:t>
      </w:r>
    </w:p>
    <w:p>
      <w:pPr>
        <w:widowControl/>
      </w:pPr>
      <w:r>
        <w:rPr>
          <w:rFonts w:ascii="Carlito" w:hAnsi="Carlito" w:eastAsia="Carlito"/>
          <w:b/>
          <w:bCs/>
        </w:rPr>
        <w:t>Встроенный ответ. Сертификация автоматически запускает единый кандидатский режим, ограниченное принятие и отказ, реестр подотчётной реализации, план, данные, объяснение изменений и оценку. Обязательны конкретные процедуры и собственные действия, хотя материальный результат не выдаётся за судебно гарантируемый.</w:t>
      </w:r>
      <w:r>
        <w:rPr>
          <w:rFonts w:ascii="Carlito" w:hAnsi="Carlito" w:eastAsia="Carlito"/>
        </w:rPr>
      </w:r>
      <w:r>
        <w:rPr>
          <w:rFonts w:ascii="Carlito" w:hAnsi="Carlito" w:eastAsia="Carlito"/>
        </w:rPr>
      </w:r>
    </w:p>
    <w:bookmarkEnd w:id="54"/>
    <w:bookmarkStart w:id="55" w:name="Xed02116d27848c375e73548ab4cc6a815fe357f"/>
    <w:p>
      <w:pPr>
        <w:pStyle w:val="Heading3"/>
        <w:keepNext/>
        <w:keepLines/>
        <w:widowControl/>
      </w:pPr>
      <w:r>
        <w:rPr>
          <w:rFonts w:ascii="Carlito" w:hAnsi="Carlito" w:eastAsia="Carlito"/>
        </w:rPr>
        <w:t xml:space="preserve">26.2. «Абсолютный порог является скрытым кворумом»</w:t>
      </w:r>
    </w:p>
    <w:p>
      <w:pPr>
        <w:pStyle w:val="FirstParagraph"/>
        <w:widowControl/>
      </w:pPr>
      <w:r>
        <w:rPr>
          <w:rFonts w:ascii="Carlito" w:hAnsi="Carlito" w:eastAsia="Carlito"/>
        </w:rPr>
        <w:t xml:space="preserve">Порог действительно создаёт минимальное требование к масштабу положительной поддержки и может стимулировать бойкот.</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Он не делает действительность всех голосов зависимой от общей явки и не позволяет противникам аннулировать большинство простым неучастием. Величина моделируется заранее и не меняется в цикле.</w:t>
      </w:r>
    </w:p>
    <w:bookmarkEnd w:id="55"/>
    <w:bookmarkStart w:id="56" w:name="Xc7b1b1f70be064bdc6b67069d2a7c3382371629"/>
    <w:p>
      <w:pPr>
        <w:pStyle w:val="Heading3"/>
        <w:keepNext/>
        <w:keepLines/>
        <w:widowControl/>
      </w:pPr>
      <w:r>
        <w:rPr>
          <w:rFonts w:ascii="Carlito" w:hAnsi="Carlito" w:eastAsia="Carlito"/>
        </w:rPr>
        <w:t xml:space="preserve">26.3. «Официальный перечень затмит выборы»</w:t>
      </w:r>
    </w:p>
    <w:p>
      <w:pPr>
        <w:pStyle w:val="FirstParagraph"/>
        <w:widowControl/>
      </w:pPr>
      <w:r>
        <w:rPr>
          <w:rFonts w:ascii="Carlito" w:hAnsi="Carlito" w:eastAsia="Carlito"/>
        </w:rPr>
        <w:t xml:space="preserve">Система способна навязать кампании ограниченную официальную рамку.</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Перечень ограничен, формируется независимо от кандидатов и не заменяет их программы. Кандидаты вправе вводить любые дополнительные темы. Официальное сравнение не содержит рейтинга соответствия и не объявляет отказ неправильным.</w:t>
      </w:r>
    </w:p>
    <w:bookmarkEnd w:id="56"/>
    <w:bookmarkStart w:id="57" w:name="X852e344a3d78bbf704c150911468d00b51b26d3"/>
    <w:p>
      <w:pPr>
        <w:pStyle w:val="Heading3"/>
        <w:keepNext/>
        <w:keepLines/>
        <w:widowControl/>
      </w:pPr>
      <w:r>
        <w:rPr>
          <w:rFonts w:ascii="Carlito" w:hAnsi="Carlito" w:eastAsia="Carlito"/>
        </w:rPr>
        <w:t xml:space="preserve">26.4. «Цифровая проверяемость несовместима с тайной»</w:t>
      </w:r>
    </w:p>
    <w:p>
      <w:pPr>
        <w:pStyle w:val="FirstParagraph"/>
        <w:widowControl/>
      </w:pPr>
      <w:r>
        <w:rPr>
          <w:rFonts w:ascii="Carlito" w:hAnsi="Carlito" w:eastAsia="Carlito"/>
        </w:rPr>
        <w:t xml:space="preserve">Абсолютное совмещение индивидуального доказательства, непродаваемости голоса и отсутствия метаданных недостижимо.</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Доктрина не обещает абсолют; канал допускается только при доказанном приемлемом риске, наличии очной альтернативы, отсутствии передаваемой квитанции и возможности безопасного отказа.</w:t>
      </w:r>
    </w:p>
    <w:bookmarkEnd w:id="57"/>
    <w:bookmarkStart w:id="58" w:name="X6fa58e3583e49b3ce4355a997d53c3b807eb08e"/>
    <w:p>
      <w:pPr>
        <w:pStyle w:val="Heading3"/>
        <w:keepNext/>
        <w:keepLines/>
        <w:widowControl/>
      </w:pPr>
      <w:r>
        <w:rPr>
          <w:rFonts w:ascii="Carlito" w:hAnsi="Carlito" w:eastAsia="Carlito"/>
        </w:rPr>
        <w:t xml:space="preserve">26.5. «Финансово несовместимый мандат вводит государство в тупик»</w:t>
      </w:r>
    </w:p>
    <w:p>
      <w:pPr>
        <w:pStyle w:val="FirstParagraph"/>
        <w:widowControl/>
      </w:pPr>
      <w:r>
        <w:rPr>
          <w:rFonts w:ascii="Carlito" w:hAnsi="Carlito" w:eastAsia="Carlito"/>
        </w:rPr>
        <w:t xml:space="preserve">Граждане могут утвердить больше целей, чем позволяет бюджет.</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До голосования видимы сценарии и конкуренция ресурсов; при необходимости собирается приоритетное ранжирование. Компетентные органы выбирают правомерную последовательность и объясняют отклонения. Проблема ограничивается, но полностью не устраняется без возврата скрытого бюджетного вето.</w:t>
      </w:r>
    </w:p>
    <w:bookmarkEnd w:id="58"/>
    <w:bookmarkEnd w:id="59"/>
    <w:bookmarkStart w:id="60" w:name="X55b056740e77d6fa1e22eb1a556f0661aef5311"/>
    <w:p>
      <w:pPr>
        <w:pStyle w:val="Heading2"/>
        <w:keepNext/>
        <w:keepLines/>
        <w:widowControl/>
      </w:pPr>
      <w:r>
        <w:rPr>
          <w:rFonts w:ascii="Carlito" w:hAnsi="Carlito" w:eastAsia="Carlito"/>
        </w:rPr>
        <w:t xml:space="preserve">27. Связь с другими главами и вывод</w:t>
      </w:r>
    </w:p>
    <w:p>
      <w:pPr>
        <w:pStyle w:val="FirstParagraph"/>
        <w:widowControl/>
      </w:pPr>
      <w:r>
        <w:rPr>
          <w:rFonts w:ascii="Carlito" w:hAnsi="Carlito" w:eastAsia="Carlito"/>
        </w:rPr>
        <w:t xml:space="preserve">Глава XVII определяет финальный пул без закрытого содержательного отбора. Глава XIX фиксирует сертифицированный результат. Главы XX–XXII регулируют самостоятельные декларации кандидатов и нейтральное информирование. Главы XXXVI–XXXVII конкретизируют техническую безопасность, разделение данных и тайну участия.</w:t>
      </w:r>
    </w:p>
    <w:p>
      <w:pPr>
        <w:pStyle w:val="DoctrineQuote"/>
        <w:widowControl/>
      </w:pPr>
      <w:r>
        <w:rPr>
          <w:rFonts w:ascii="Carlito" w:hAnsi="Carlito" w:eastAsia="Carlito"/>
          <w:bCs/>
          <w:i/>
        </w:rPr>
        <w:t xml:space="preserve">Пункт общественного поручения возникает не из популярности на ранней стадии и не из решения комиссии. Он возникает только из действительного, равного, проверяемого и сертифицированного гражданского волеизъявления с заранее определённым правовым эффектом.</w:t>
      </w:r>
    </w:p>
    <w:bookmarkEnd w:id="60"/>
    <w:bookmarkEnd w:id="61"/>
    <w:bookmarkStart w:id="91" w:name="Xb3efe0dc349706b7184c50b9daf46fcdbb20c36"/>
    <w:p>
      <w:pPr>
        <w:pStyle w:val="Heading1"/>
        <w:keepNext/>
        <w:keepLines/>
        <w:pageBreakBefore/>
        <w:widowControl/>
        <w:spacing w:before="0" w:after="160"/>
        <w:pBdr>
          <w:bottom w:val="single" w:sz="5" w:space="4" w:color="B4C6E7"/>
        </w:pBdr>
      </w:pPr>
      <w:r>
        <w:rPr>
          <w:rFonts w:ascii="Carlito" w:hAnsi="Carlito" w:eastAsia="Carlito"/>
        </w:rPr>
        <w:t xml:space="preserve">Глава XIX. Общественный мандат как официальный документ</w:t>
      </w:r>
    </w:p>
    <w:bookmarkStart w:id="62" w:name="X8b4ca75dc2ad3f8c22f19ecd43bf5ec58ca478c"/>
    <w:p>
      <w:pPr>
        <w:pStyle w:val="Heading2"/>
        <w:keepNext/>
        <w:keepLines/>
        <w:widowControl/>
      </w:pPr>
      <w:r>
        <w:rPr>
          <w:rFonts w:ascii="Carlito" w:hAnsi="Carlito" w:eastAsia="Carlito"/>
        </w:rPr>
        <w:t xml:space="preserve">1. Предмет и цель главы</w:t>
      </w:r>
    </w:p>
    <w:p>
      <w:pPr>
        <w:pStyle w:val="FirstParagraph"/>
        <w:widowControl/>
      </w:pPr>
      <w:r>
        <w:rPr>
          <w:rFonts w:ascii="Carlito" w:hAnsi="Carlito" w:eastAsia="Carlito"/>
        </w:rPr>
        <w:t xml:space="preserve">Настоящая глава определяет понятие, состав, правовую природу, структуру, неизменяемость, публикацию, толкование, срок и архивирование общественного мандата как официального документа, удостоверяющего итог финального гражданского волеизъявления.</w:t>
      </w:r>
    </w:p>
    <w:p>
      <w:pPr>
        <w:widowControl/>
      </w:pPr>
      <w:r>
        <w:rPr>
          <w:rFonts w:ascii="Carlito" w:hAnsi="Carlito" w:eastAsia="Carlito"/>
        </w:rPr>
        <w:t xml:space="preserve">Цель главы — сделать результат устойчивым к переписыванию, выборочному цитированию и скрытому усилению юридической силы, сохранив при этом его реальное влияние на кандидатский и послевыборный цикл.</w:t>
      </w:r>
    </w:p>
    <w:p>
      <w:pPr>
        <w:pStyle w:val="DoctrineQuote"/>
        <w:widowControl/>
      </w:pPr>
      <w:r>
        <w:rPr>
          <w:rFonts w:ascii="Carlito" w:hAnsi="Carlito" w:eastAsia="Carlito"/>
          <w:bCs/>
          <w:i/>
        </w:rPr>
        <w:t xml:space="preserve">Общественный мандат хранит то, что граждане утвердили. Декларация кандидата хранит то, что кандидат принял или отверг. План и отчёт показывают, что сделала избранная власть. Ни один из этих документов не подменяет другой.</w:t>
      </w:r>
    </w:p>
    <w:bookmarkEnd w:id="62"/>
    <w:bookmarkStart w:id="63" w:name="X87db5981234b92ad7c5097fa1c0031e832bd187"/>
    <w:p>
      <w:pPr>
        <w:pStyle w:val="Heading2"/>
        <w:keepNext/>
        <w:keepLines/>
        <w:widowControl/>
      </w:pPr>
      <w:r>
        <w:rPr>
          <w:rFonts w:ascii="Carlito" w:hAnsi="Carlito" w:eastAsia="Carlito"/>
        </w:rPr>
        <w:t xml:space="preserve">2. Понятие общественного мандата</w:t>
      </w:r>
    </w:p>
    <w:p>
      <w:pPr>
        <w:pStyle w:val="FirstParagraph"/>
        <w:widowControl/>
      </w:pPr>
      <w:r>
        <w:rPr>
          <w:rFonts w:ascii="Carlito" w:hAnsi="Carlito" w:eastAsia="Carlito"/>
        </w:rPr>
        <w:t xml:space="preserve">Общественный мандат — сертифицированный официальный документ соответствующего цикла, содержащий все утверждённые пункты общественного поручения, доказательства их утверждения, границы правового эффекта, структуру поддержки и неизменяемую историю формирования.</w:t>
      </w:r>
    </w:p>
    <w:p>
      <w:pPr>
        <w:widowControl/>
      </w:pPr>
      <w:r>
        <w:rPr>
          <w:rFonts w:ascii="Carlito" w:hAnsi="Carlito" w:eastAsia="Carlito"/>
        </w:rPr>
        <w:t xml:space="preserve">Термин «мандат» описывает официальный результат гражданской процедуры и запуск установленного режима подотчётности. Он не означает гражданско-правовой договор, императивный депутатский мандат, приказ суду или самостоятельный источник материального права.</w:t>
      </w:r>
    </w:p>
    <w:bookmarkEnd w:id="63"/>
    <w:bookmarkStart w:id="64" w:name="X09a19ffe75952043ac647d7ca8d736ef7121383"/>
    <w:p>
      <w:pPr>
        <w:pStyle w:val="Heading2"/>
        <w:keepNext/>
        <w:keepLines/>
        <w:widowControl/>
      </w:pPr>
      <w:r>
        <w:rPr>
          <w:rFonts w:ascii="Carlito" w:hAnsi="Carlito" w:eastAsia="Carlito"/>
        </w:rPr>
        <w:t xml:space="preserve">3. Разграничение объектов</w:t>
      </w:r>
    </w:p>
    <w:tbl>
      <w:tblPr>
        <w:tblStyle w:val="TableGrid"/>
        <w:tblW w:type="dxa" w:w="9650"/>
        <w:jc w:val="center"/>
        <w:tblLayout w:type="fixed"/>
        <w:tblLook w:firstRow="1" w:lastRow="0" w:firstColumn="0" w:lastColumn="0" w:noHBand="0" w:noVBand="0" w:val="0020"/>
      </w:tblPr>
      <w:tblGrid>
        <w:gridCol w:w="2100"/>
        <w:gridCol w:w="2850"/>
        <w:gridCol w:w="2850"/>
        <w:gridCol w:w="1850"/>
      </w:tblGrid>
      <w:tr>
        <w:trPr>
          <w:tblHeader w:val="true"/>
          <w:cantSplit/>
          <w:tblHeader w:val="true"/>
        </w:trPr>
        <w:tc>
          <w:tcPr>
            <w:tcW w:w="210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Объект</w:t>
            </w:r>
          </w:p>
        </w:tc>
        <w:tc>
          <w:tcPr>
            <w:tcW w:w="28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Назначение</w:t>
            </w:r>
          </w:p>
        </w:tc>
        <w:tc>
          <w:tcPr>
            <w:tcW w:w="28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Что создаёт</w:t>
            </w:r>
          </w:p>
        </w:tc>
        <w:tc>
          <w:tcPr>
            <w:tcW w:w="1850" w:type="dxa"/>
            <w:tcMar>
              <w:top w:w="60" w:type="dxa"/>
              <w:start w:w="70" w:type="dxa"/>
              <w:bottom w:w="60" w:type="dxa"/>
              <w:end w:w="70" w:type="dxa"/>
            </w:tcMar>
            <w:vAlign w:val="center"/>
            <w:shd w:fill="17365D"/>
          </w:tcPr>
          <w:p>
            <w:pPr>
              <w:widowControl/>
              <w:spacing w:before="0" w:after="40" w:line="240" w:lineRule="auto"/>
              <w:jc w:val="left"/>
            </w:pPr>
            <w:r>
              <w:rPr>
                <w:rFonts w:ascii="Carlito" w:hAnsi="Carlito" w:eastAsia="Carlito"/>
                <w:b/>
                <w:color w:val="FFFFFF"/>
                <w:sz w:val="16"/>
              </w:rPr>
              <w:t xml:space="preserve">Чего не создаёт</w:t>
            </w:r>
          </w:p>
        </w:tc>
      </w:tr>
      <w:tr>
        <w:trPr>
          <w:cantSplit/>
        </w:trPr>
        <w:tc>
          <w:tcPr>
            <w:tcW w:w="21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Общественная инициатива</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Поставить проблему или цель на официальный путь</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Право на процедуру, сохранение смысла и ответ</w:t>
            </w:r>
          </w:p>
        </w:tc>
        <w:tc>
          <w:tcPr>
            <w:tcW w:w="1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Автоматическое включение в финальный перечень</w:t>
            </w:r>
          </w:p>
        </w:tc>
      </w:tr>
      <w:tr>
        <w:trPr>
          <w:cantSplit/>
        </w:trPr>
        <w:tc>
          <w:tcPr>
            <w:tcW w:w="21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Общественное поручение</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Совокупность целей, утверждённых гражданами в конкретном цикле</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Политико-процедурное основание обязательного отношения и подотчётности</w:t>
            </w:r>
          </w:p>
        </w:tc>
        <w:tc>
          <w:tcPr>
            <w:tcW w:w="1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Самостоятельный закон, бюджет или полномочие</w:t>
            </w:r>
          </w:p>
        </w:tc>
      </w:tr>
      <w:tr>
        <w:trPr>
          <w:cantSplit/>
        </w:trPr>
        <w:tc>
          <w:tcPr>
            <w:tcW w:w="21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Общественный мандат</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Официально удостоверить текст и результат поручения</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Единую неизменяемую версию и запуск последующих стадий</w:t>
            </w:r>
          </w:p>
        </w:tc>
        <w:tc>
          <w:tcPr>
            <w:tcW w:w="1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Позицию кандидата или оценку исполнения</w:t>
            </w:r>
          </w:p>
        </w:tc>
      </w:tr>
      <w:tr>
        <w:trPr>
          <w:cantSplit/>
        </w:trPr>
        <w:tc>
          <w:tcPr>
            <w:tcW w:w="21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Декларация кандидата</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Зафиксировать собственную позицию кандидата</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Режим подотчётности победителя в пределах его компетенции</w:t>
            </w:r>
          </w:p>
        </w:tc>
        <w:tc>
          <w:tcPr>
            <w:tcW w:w="1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Обязательство парламента, суда, региона или рынка</w:t>
            </w:r>
          </w:p>
        </w:tc>
      </w:tr>
      <w:tr>
        <w:trPr>
          <w:cantSplit/>
        </w:trPr>
        <w:tc>
          <w:tcPr>
            <w:tcW w:w="210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Реестр подотчётной реализации</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Связать принятые позиции победителя с собственными действиями</w:t>
            </w:r>
          </w:p>
        </w:tc>
        <w:tc>
          <w:tcPr>
            <w:tcW w:w="2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Плановый, информационный и контрольный цикл</w:t>
            </w:r>
          </w:p>
        </w:tc>
        <w:tc>
          <w:tcPr>
            <w:tcW w:w="1850" w:type="dxa"/>
            <w:tcMar>
              <w:top w:w="60" w:type="dxa"/>
              <w:start w:w="70" w:type="dxa"/>
              <w:bottom w:w="60" w:type="dxa"/>
              <w:end w:w="70" w:type="dxa"/>
            </w:tcMar>
            <w:vAlign w:val="center"/>
          </w:tcPr>
          <w:p>
            <w:pPr>
              <w:widowControl/>
              <w:spacing w:before="0" w:after="40" w:line="240" w:lineRule="auto"/>
              <w:jc w:val="left"/>
            </w:pPr>
            <w:r>
              <w:rPr>
                <w:rFonts w:ascii="Carlito" w:hAnsi="Carlito" w:eastAsia="Carlito"/>
                <w:color w:val="000000"/>
                <w:sz w:val="16"/>
              </w:rPr>
              <w:t xml:space="preserve">Отдельное одобрение каждого пункта всеми его избирателями</w:t>
            </w:r>
          </w:p>
        </w:tc>
      </w:tr>
      <w:tr>
        <w:trPr>
          <w:cantSplit/>
        </w:trPr>
        <w:tc>
          <w:tcPr>
            <w:tcW w:w="210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Акт реализации</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Принять закон, бюджет, административное или иное компетентное решение</w:t>
            </w:r>
          </w:p>
        </w:tc>
        <w:tc>
          <w:tcPr>
            <w:tcW w:w="2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Материальные права, расходы, полномочия и обязанности</w:t>
            </w:r>
          </w:p>
        </w:tc>
        <w:tc>
          <w:tcPr>
            <w:tcW w:w="1850" w:type="dxa"/>
            <w:tcMar>
              <w:top w:w="60" w:type="dxa"/>
              <w:start w:w="70" w:type="dxa"/>
              <w:bottom w:w="60" w:type="dxa"/>
              <w:end w:w="70" w:type="dxa"/>
            </w:tcMar>
            <w:vAlign w:val="center"/>
            <w:shd w:fill="EEF3F7"/>
          </w:tcPr>
          <w:p>
            <w:pPr>
              <w:widowControl/>
              <w:spacing w:before="0" w:after="40" w:line="240" w:lineRule="auto"/>
              <w:jc w:val="left"/>
            </w:pPr>
            <w:r>
              <w:rPr>
                <w:rFonts w:ascii="Carlito" w:hAnsi="Carlito" w:eastAsia="Carlito"/>
                <w:color w:val="000000"/>
                <w:sz w:val="16"/>
              </w:rPr>
              <w:t xml:space="preserve">Право переписать общественный мандат задним числом</w:t>
            </w:r>
          </w:p>
        </w:tc>
      </w:tr>
    </w:tbl>
    <w:bookmarkEnd w:id="64"/>
    <w:bookmarkStart w:id="65" w:name="Xec1315f501f714159da2b360a3fca4c41fd415c"/>
    <w:p>
      <w:pPr>
        <w:widowControl/>
      </w:pPr>
      <w:r>
        <w:t>В неизменяемое ядро общественного мандата включаются только утверждённые пункты общественного поручения. Поддержанные инициативы и общественные приоритеты публикуются в отдельном информационном приложении, визуально и юридически отделённом от ядра; они не запускают сильный кандидатский режим. Понижение статуса при слабом участии происходит автоматически до сертификации и не может быть отменено редакционным решением.</w:t>
      </w:r>
    </w:p>
    <w:p>
      <w:pPr>
        <w:pStyle w:val="Heading2"/>
        <w:keepNext/>
        <w:keepLines/>
        <w:widowControl/>
      </w:pPr>
      <w:r>
        <w:rPr>
          <w:rFonts w:ascii="Carlito" w:hAnsi="Carlito" w:eastAsia="Carlito"/>
        </w:rPr>
        <w:t xml:space="preserve">4. Правовая природа и пределы официальности</w:t>
      </w:r>
    </w:p>
    <w:p>
      <w:pPr>
        <w:pStyle w:val="FirstParagraph"/>
        <w:keepNext/>
        <w:widowControl/>
      </w:pPr>
      <w:r>
        <w:rPr>
          <w:rFonts w:ascii="Carlito" w:hAnsi="Carlito" w:eastAsia="Carlito"/>
        </w:rPr>
        <w:t xml:space="preserve">Официальность общественного мандата означает:</w:t>
      </w:r>
    </w:p>
    <w:p>
      <w:pPr>
        <w:pStyle w:val="ListBullet"/>
        <w:widowControl/>
        <w:numPr>
          <w:ilvl w:val="0"/>
          <w:numId w:val="1018"/>
        </w:numPr>
        <w:spacing w:after="70"/>
      </w:pPr>
      <w:r>
        <w:rPr>
          <w:rFonts w:ascii="Carlito" w:hAnsi="Carlito" w:eastAsia="Carlito"/>
        </w:rPr>
        <w:t xml:space="preserve">достоверное удостоверение текста, результата, порогов, даты и процедуры;</w:t>
      </w:r>
    </w:p>
    <w:p>
      <w:pPr>
        <w:pStyle w:val="ListBullet"/>
        <w:widowControl/>
        <w:numPr>
          <w:ilvl w:val="0"/>
          <w:numId w:val="1018"/>
        </w:numPr>
        <w:spacing w:after="70"/>
      </w:pPr>
      <w:r>
        <w:rPr>
          <w:rFonts w:ascii="Carlito" w:hAnsi="Carlito" w:eastAsia="Carlito"/>
        </w:rPr>
        <w:t xml:space="preserve">обязательное использование одной и той же сертифицированной версии в официальных материалах;</w:t>
      </w:r>
    </w:p>
    <w:p>
      <w:pPr>
        <w:pStyle w:val="ListBullet"/>
        <w:widowControl/>
        <w:numPr>
          <w:ilvl w:val="0"/>
          <w:numId w:val="1018"/>
        </w:numPr>
        <w:spacing w:after="70"/>
      </w:pPr>
      <w:r>
        <w:rPr>
          <w:rFonts w:ascii="Carlito" w:hAnsi="Carlito" w:eastAsia="Carlito"/>
        </w:rPr>
        <w:t xml:space="preserve">равный, бесплатный и доступный публичный доступ;</w:t>
      </w:r>
    </w:p>
    <w:p>
      <w:pPr>
        <w:pStyle w:val="ListBullet"/>
        <w:widowControl/>
        <w:numPr>
          <w:ilvl w:val="0"/>
          <w:numId w:val="1018"/>
        </w:numPr>
        <w:spacing w:after="70"/>
      </w:pPr>
      <w:r>
        <w:rPr>
          <w:rFonts w:ascii="Carlito" w:hAnsi="Carlito" w:eastAsia="Carlito"/>
        </w:rPr>
        <w:t xml:space="preserve">машиночитаемость и возможность независимой проверки;</w:t>
      </w:r>
    </w:p>
    <w:p>
      <w:pPr>
        <w:pStyle w:val="ListBullet"/>
        <w:widowControl/>
        <w:numPr>
          <w:ilvl w:val="0"/>
          <w:numId w:val="1018"/>
        </w:numPr>
        <w:spacing w:after="70"/>
      </w:pPr>
      <w:r>
        <w:rPr>
          <w:rFonts w:ascii="Carlito" w:hAnsi="Carlito" w:eastAsia="Carlito"/>
        </w:rPr>
        <w:t xml:space="preserve">запуск предусмотренного законом цикла деклараций кандидатов;</w:t>
      </w:r>
    </w:p>
    <w:p>
      <w:pPr>
        <w:pStyle w:val="ListBullet"/>
        <w:widowControl/>
        <w:numPr>
          <w:ilvl w:val="0"/>
          <w:numId w:val="1018"/>
        </w:numPr>
        <w:spacing w:after="70"/>
      </w:pPr>
      <w:r>
        <w:rPr>
          <w:rFonts w:ascii="Carlito" w:hAnsi="Carlito" w:eastAsia="Carlito"/>
        </w:rPr>
        <w:t xml:space="preserve">сохранение для реестра победителя, мониторинга и следующего электорального цикла;</w:t>
      </w:r>
    </w:p>
    <w:p>
      <w:pPr>
        <w:pStyle w:val="ListBullet"/>
        <w:widowControl/>
        <w:numPr>
          <w:ilvl w:val="0"/>
          <w:numId w:val="1018"/>
        </w:numPr>
        <w:spacing w:after="70"/>
      </w:pPr>
      <w:r>
        <w:rPr>
          <w:rFonts w:ascii="Carlito" w:hAnsi="Carlito" w:eastAsia="Carlito"/>
        </w:rPr>
        <w:t xml:space="preserve">юридическую защиту целостности, публикации и процедурных последствий.</w:t>
      </w:r>
    </w:p>
    <w:p>
      <w:pPr>
        <w:pStyle w:val="FirstParagraph"/>
        <w:keepNext/>
        <w:widowControl/>
      </w:pPr>
      <w:r>
        <w:rPr>
          <w:rFonts w:ascii="Carlito" w:hAnsi="Carlito" w:eastAsia="Carlito"/>
        </w:rPr>
        <w:t xml:space="preserve">Общественный мандат сам по себе не:</w:t>
      </w:r>
    </w:p>
    <w:p>
      <w:pPr>
        <w:pStyle w:val="ListBullet"/>
        <w:widowControl/>
        <w:numPr>
          <w:ilvl w:val="0"/>
          <w:numId w:val="1019"/>
        </w:numPr>
        <w:spacing w:after="70"/>
      </w:pPr>
      <w:r>
        <w:rPr>
          <w:rFonts w:ascii="Carlito" w:hAnsi="Carlito" w:eastAsia="Carlito"/>
        </w:rPr>
        <w:t xml:space="preserve">изменяет Конституцию, закон или международное обязательство;</w:t>
      </w:r>
    </w:p>
    <w:p>
      <w:pPr>
        <w:pStyle w:val="ListBullet"/>
        <w:widowControl/>
        <w:numPr>
          <w:ilvl w:val="0"/>
          <w:numId w:val="1019"/>
        </w:numPr>
        <w:spacing w:after="70"/>
      </w:pPr>
      <w:r>
        <w:rPr>
          <w:rFonts w:ascii="Carlito" w:hAnsi="Carlito" w:eastAsia="Carlito"/>
        </w:rPr>
        <w:t xml:space="preserve">разрешает расходование средств;</w:t>
      </w:r>
    </w:p>
    <w:p>
      <w:pPr>
        <w:pStyle w:val="ListBullet"/>
        <w:widowControl/>
        <w:numPr>
          <w:ilvl w:val="0"/>
          <w:numId w:val="1019"/>
        </w:numPr>
        <w:spacing w:after="70"/>
      </w:pPr>
      <w:r>
        <w:rPr>
          <w:rFonts w:ascii="Carlito" w:hAnsi="Carlito" w:eastAsia="Carlito"/>
        </w:rPr>
        <w:t xml:space="preserve">расширяет компетенцию должностного лица;</w:t>
      </w:r>
    </w:p>
    <w:p>
      <w:pPr>
        <w:pStyle w:val="ListBullet"/>
        <w:widowControl/>
        <w:numPr>
          <w:ilvl w:val="0"/>
          <w:numId w:val="1019"/>
        </w:numPr>
        <w:spacing w:after="70"/>
      </w:pPr>
      <w:r>
        <w:rPr>
          <w:rFonts w:ascii="Carlito" w:hAnsi="Carlito" w:eastAsia="Carlito"/>
        </w:rPr>
        <w:t xml:space="preserve">отменяет права, судебную независимость или местную автономию;</w:t>
      </w:r>
    </w:p>
    <w:p>
      <w:pPr>
        <w:pStyle w:val="ListBullet"/>
        <w:widowControl/>
        <w:numPr>
          <w:ilvl w:val="0"/>
          <w:numId w:val="1019"/>
        </w:numPr>
        <w:spacing w:after="70"/>
      </w:pPr>
      <w:r>
        <w:rPr>
          <w:rFonts w:ascii="Carlito" w:hAnsi="Carlito" w:eastAsia="Carlito"/>
        </w:rPr>
        <w:t xml:space="preserve">предписывает индивидуальный голос депутата;</w:t>
      </w:r>
    </w:p>
    <w:p>
      <w:pPr>
        <w:pStyle w:val="ListBullet"/>
        <w:widowControl/>
        <w:numPr>
          <w:ilvl w:val="0"/>
          <w:numId w:val="1019"/>
        </w:numPr>
        <w:spacing w:after="70"/>
      </w:pPr>
      <w:r>
        <w:rPr>
          <w:rFonts w:ascii="Carlito" w:hAnsi="Carlito" w:eastAsia="Carlito"/>
        </w:rPr>
        <w:t xml:space="preserve">создаёт ответственность частного лица;</w:t>
      </w:r>
    </w:p>
    <w:p>
      <w:pPr>
        <w:pStyle w:val="ListBullet"/>
        <w:widowControl/>
        <w:numPr>
          <w:ilvl w:val="0"/>
          <w:numId w:val="1019"/>
        </w:numPr>
        <w:spacing w:after="70"/>
      </w:pPr>
      <w:r>
        <w:rPr>
          <w:rFonts w:ascii="Carlito" w:hAnsi="Carlito" w:eastAsia="Carlito"/>
        </w:rPr>
        <w:t xml:space="preserve">служит основанием дисквалификации кандидата за политическое неисполнение;</w:t>
      </w:r>
    </w:p>
    <w:p>
      <w:pPr>
        <w:pStyle w:val="ListBullet"/>
        <w:widowControl/>
        <w:numPr>
          <w:ilvl w:val="0"/>
          <w:numId w:val="1019"/>
        </w:numPr>
        <w:spacing w:after="70"/>
      </w:pPr>
      <w:r>
        <w:rPr>
          <w:rFonts w:ascii="Carlito" w:hAnsi="Carlito" w:eastAsia="Carlito"/>
        </w:rPr>
        <w:t xml:space="preserve">получает преимущество над новым свободным электоральным выбором.</w:t>
      </w:r>
    </w:p>
    <w:bookmarkEnd w:id="65"/>
    <w:bookmarkStart w:id="66" w:name="Xd2edcfd4058d55e5f34b6a73c1e61f2f78a0386"/>
    <w:p>
      <w:pPr>
        <w:pStyle w:val="Heading2"/>
        <w:keepNext/>
        <w:keepLines/>
        <w:widowControl/>
      </w:pPr>
      <w:r>
        <w:rPr>
          <w:rFonts w:ascii="Carlito" w:hAnsi="Carlito" w:eastAsia="Carlito"/>
        </w:rPr>
        <w:t xml:space="preserve">5. Модульная структура документа</w:t>
      </w:r>
    </w:p>
    <w:p>
      <w:pPr>
        <w:pStyle w:val="FirstParagraph"/>
        <w:keepNext/>
        <w:widowControl/>
      </w:pPr>
      <w:r>
        <w:rPr>
          <w:rFonts w:ascii="Carlito" w:hAnsi="Carlito" w:eastAsia="Carlito"/>
        </w:rPr>
        <w:t xml:space="preserve">Мандат имеет четыре чётко разделённых слоя:</w:t>
      </w:r>
    </w:p>
    <w:p>
      <w:pPr>
        <w:pStyle w:val="ListBullet"/>
        <w:widowControl/>
        <w:numPr>
          <w:ilvl w:val="0"/>
          <w:numId w:val="1020"/>
        </w:numPr>
        <w:spacing w:after="70"/>
      </w:pPr>
      <w:r>
        <w:rPr>
          <w:rFonts w:ascii="Carlito" w:hAnsi="Carlito" w:eastAsia="Carlito"/>
        </w:rPr>
        <w:t xml:space="preserve">сертификационный титул — цикл, территория, компетентный корпус, дата, орган сертификации и правовой статус;</w:t>
      </w:r>
    </w:p>
    <w:p>
      <w:pPr>
        <w:pStyle w:val="ListBullet"/>
        <w:widowControl/>
        <w:numPr>
          <w:ilvl w:val="0"/>
          <w:numId w:val="1020"/>
        </w:numPr>
        <w:spacing w:after="70"/>
      </w:pPr>
      <w:r>
        <w:rPr>
          <w:rFonts w:ascii="Carlito" w:hAnsi="Carlito" w:eastAsia="Carlito"/>
        </w:rPr>
        <w:t xml:space="preserve">неизменяемое ядро — утверждённые формулировки, идентификаторы, результаты, пороги и границы эффекта;</w:t>
      </w:r>
    </w:p>
    <w:p>
      <w:pPr>
        <w:pStyle w:val="ListBullet"/>
        <w:widowControl/>
        <w:numPr>
          <w:ilvl w:val="0"/>
          <w:numId w:val="1020"/>
        </w:numPr>
        <w:spacing w:after="70"/>
      </w:pPr>
      <w:r>
        <w:rPr>
          <w:rFonts w:ascii="Carlito" w:hAnsi="Carlito" w:eastAsia="Carlito"/>
        </w:rPr>
        <w:t xml:space="preserve">замороженные доказательственные приложения — протоколы, аудит, карты компетенции, экспертизы, разногласия и история редакций на дату сертификации;</w:t>
      </w:r>
    </w:p>
    <w:p>
      <w:pPr>
        <w:pStyle w:val="ListBullet"/>
        <w:widowControl/>
        <w:numPr>
          <w:ilvl w:val="0"/>
          <w:numId w:val="1020"/>
        </w:numPr>
        <w:spacing w:after="70"/>
      </w:pPr>
      <w:r>
        <w:rPr>
          <w:rFonts w:ascii="Carlito" w:hAnsi="Carlito" w:eastAsia="Carlito"/>
        </w:rPr>
        <w:t xml:space="preserve">реестр связанных документов — ссылки на декларации, планы, отчёты, судебные решения и оценки, которые не входят в текст мандата и имеют собственную версионность.</w:t>
      </w:r>
    </w:p>
    <w:p>
      <w:pPr>
        <w:pStyle w:val="FirstParagraph"/>
        <w:widowControl/>
      </w:pPr>
      <w:r>
        <w:rPr>
          <w:rFonts w:ascii="Carlito" w:hAnsi="Carlito" w:eastAsia="Carlito"/>
        </w:rPr>
        <w:t xml:space="preserve">Динамический статус реализации не записывается в неизменяемое ядро. Он отображается в отдельном реестре, чтобы последующая власть не могла изменить исходный смысл через метаданные, показатели или интерфейс.</w:t>
      </w:r>
    </w:p>
    <w:bookmarkEnd w:id="66"/>
    <w:bookmarkStart w:id="67" w:name="X66f32569c0a9745d295baa5e1244753b8c579a3"/>
    <w:p>
      <w:pPr>
        <w:pStyle w:val="Heading2"/>
        <w:keepNext/>
        <w:keepLines/>
        <w:widowControl/>
      </w:pPr>
      <w:r>
        <w:rPr>
          <w:rFonts w:ascii="Carlito" w:hAnsi="Carlito" w:eastAsia="Carlito"/>
        </w:rPr>
        <w:t xml:space="preserve">6. Сертификационный титул</w:t>
      </w:r>
    </w:p>
    <w:p>
      <w:pPr>
        <w:pStyle w:val="FirstParagraph"/>
        <w:keepNext/>
        <w:widowControl/>
      </w:pPr>
      <w:r>
        <w:rPr>
          <w:rFonts w:ascii="Carlito" w:hAnsi="Carlito" w:eastAsia="Carlito"/>
        </w:rPr>
        <w:t xml:space="preserve">Титул содержит как минимум:</w:t>
      </w:r>
    </w:p>
    <w:p>
      <w:pPr>
        <w:pStyle w:val="ListBullet"/>
        <w:widowControl/>
        <w:numPr>
          <w:ilvl w:val="0"/>
          <w:numId w:val="1021"/>
        </w:numPr>
        <w:spacing w:after="70"/>
      </w:pPr>
      <w:r>
        <w:rPr>
          <w:rFonts w:ascii="Carlito" w:hAnsi="Carlito" w:eastAsia="Carlito"/>
        </w:rPr>
        <w:t xml:space="preserve">официальное наименование документа и цикла;</w:t>
      </w:r>
    </w:p>
    <w:p>
      <w:pPr>
        <w:pStyle w:val="ListBullet"/>
        <w:widowControl/>
        <w:numPr>
          <w:ilvl w:val="0"/>
          <w:numId w:val="1021"/>
        </w:numPr>
        <w:spacing w:after="70"/>
      </w:pPr>
      <w:r>
        <w:rPr>
          <w:rFonts w:ascii="Carlito" w:hAnsi="Carlito" w:eastAsia="Carlito"/>
        </w:rPr>
        <w:t xml:space="preserve">территорию и уровень публичной власти;</w:t>
      </w:r>
    </w:p>
    <w:p>
      <w:pPr>
        <w:pStyle w:val="ListBullet"/>
        <w:widowControl/>
        <w:numPr>
          <w:ilvl w:val="0"/>
          <w:numId w:val="1021"/>
        </w:numPr>
        <w:spacing w:after="70"/>
      </w:pPr>
      <w:r>
        <w:rPr>
          <w:rFonts w:ascii="Carlito" w:hAnsi="Carlito" w:eastAsia="Carlito"/>
        </w:rPr>
        <w:t xml:space="preserve">правовое основание проведения процедуры;</w:t>
      </w:r>
    </w:p>
    <w:p>
      <w:pPr>
        <w:pStyle w:val="ListBullet"/>
        <w:widowControl/>
        <w:numPr>
          <w:ilvl w:val="0"/>
          <w:numId w:val="1021"/>
        </w:numPr>
        <w:spacing w:after="70"/>
      </w:pPr>
      <w:r>
        <w:rPr>
          <w:rFonts w:ascii="Carlito" w:hAnsi="Carlito" w:eastAsia="Carlito"/>
        </w:rPr>
        <w:t xml:space="preserve">даты голосования и сертификации;</w:t>
      </w:r>
    </w:p>
    <w:p>
      <w:pPr>
        <w:pStyle w:val="ListBullet"/>
        <w:widowControl/>
        <w:numPr>
          <w:ilvl w:val="0"/>
          <w:numId w:val="1021"/>
        </w:numPr>
        <w:spacing w:after="70"/>
      </w:pPr>
      <w:r>
        <w:rPr>
          <w:rFonts w:ascii="Carlito" w:hAnsi="Carlito" w:eastAsia="Carlito"/>
        </w:rPr>
        <w:t xml:space="preserve">описание корпуса участников и замороженный показатель его численности;</w:t>
      </w:r>
    </w:p>
    <w:p>
      <w:pPr>
        <w:pStyle w:val="ListBullet"/>
        <w:widowControl/>
        <w:numPr>
          <w:ilvl w:val="0"/>
          <w:numId w:val="1021"/>
        </w:numPr>
        <w:spacing w:after="70"/>
      </w:pPr>
      <w:r>
        <w:rPr>
          <w:rFonts w:ascii="Carlito" w:hAnsi="Carlito" w:eastAsia="Carlito"/>
        </w:rPr>
        <w:t xml:space="preserve">перечень применённых порогов и формул;</w:t>
      </w:r>
    </w:p>
    <w:p>
      <w:pPr>
        <w:pStyle w:val="ListBullet"/>
        <w:widowControl/>
        <w:numPr>
          <w:ilvl w:val="0"/>
          <w:numId w:val="1021"/>
        </w:numPr>
        <w:spacing w:after="70"/>
      </w:pPr>
      <w:r>
        <w:rPr>
          <w:rFonts w:ascii="Carlito" w:hAnsi="Carlito" w:eastAsia="Carlito"/>
        </w:rPr>
        <w:t xml:space="preserve">указание на отсутствие прямого материального действия, если иной эффект не возник по отдельной национальной процедуре;</w:t>
      </w:r>
    </w:p>
    <w:p>
      <w:pPr>
        <w:pStyle w:val="ListBullet"/>
        <w:widowControl/>
        <w:numPr>
          <w:ilvl w:val="0"/>
          <w:numId w:val="1021"/>
        </w:numPr>
        <w:spacing w:after="70"/>
      </w:pPr>
      <w:r>
        <w:rPr>
          <w:rFonts w:ascii="Carlito" w:hAnsi="Carlito" w:eastAsia="Carlito"/>
        </w:rPr>
        <w:t xml:space="preserve">орган сертификации, подписи, технические доказательства целостности и место официального архива;</w:t>
      </w:r>
    </w:p>
    <w:p>
      <w:pPr>
        <w:pStyle w:val="ListBullet"/>
        <w:widowControl/>
        <w:numPr>
          <w:ilvl w:val="0"/>
          <w:numId w:val="1021"/>
        </w:numPr>
        <w:spacing w:after="70"/>
      </w:pPr>
      <w:r>
        <w:rPr>
          <w:rFonts w:ascii="Carlito" w:hAnsi="Carlito" w:eastAsia="Carlito"/>
        </w:rPr>
        <w:t xml:space="preserve">перечень оговорок, частично оспариваемых либо повторно голосуемых пунктов.</w:t>
      </w:r>
    </w:p>
    <w:bookmarkEnd w:id="67"/>
    <w:bookmarkStart w:id="68" w:name="Xa3b3be9c009ae2d1cabc5b8ef6f34c21c9141bf"/>
    <w:p>
      <w:pPr>
        <w:pStyle w:val="Heading2"/>
        <w:keepNext/>
        <w:keepLines/>
        <w:widowControl/>
      </w:pPr>
      <w:r>
        <w:rPr>
          <w:rFonts w:ascii="Carlito" w:hAnsi="Carlito" w:eastAsia="Carlito"/>
        </w:rPr>
        <w:t xml:space="preserve">7. Неизменяемое ядро пункта</w:t>
      </w:r>
    </w:p>
    <w:p>
      <w:pPr>
        <w:pStyle w:val="FirstParagraph"/>
        <w:keepNext/>
        <w:widowControl/>
      </w:pPr>
      <w:r>
        <w:rPr>
          <w:rFonts w:ascii="Carlito" w:hAnsi="Carlito" w:eastAsia="Carlito"/>
        </w:rPr>
        <w:t xml:space="preserve">По каждому утверждённому пункту ядро содержит:</w:t>
      </w:r>
    </w:p>
    <w:p>
      <w:pPr>
        <w:pStyle w:val="ListBullet"/>
        <w:widowControl/>
        <w:numPr>
          <w:ilvl w:val="0"/>
          <w:numId w:val="1022"/>
        </w:numPr>
        <w:spacing w:after="70"/>
      </w:pPr>
      <w:r>
        <w:rPr>
          <w:rFonts w:ascii="Carlito" w:hAnsi="Carlito" w:eastAsia="Carlito"/>
        </w:rPr>
        <w:t xml:space="preserve">постоянный идентификатор;</w:t>
      </w:r>
    </w:p>
    <w:p>
      <w:pPr>
        <w:pStyle w:val="ListBullet"/>
        <w:widowControl/>
        <w:numPr>
          <w:ilvl w:val="0"/>
          <w:numId w:val="1022"/>
        </w:numPr>
        <w:spacing w:after="70"/>
      </w:pPr>
      <w:r>
        <w:rPr>
          <w:rFonts w:ascii="Carlito" w:hAnsi="Carlito" w:eastAsia="Carlito"/>
        </w:rPr>
        <w:t xml:space="preserve">финальную формулировку и ссылку на неизменяемый исходный текст;</w:t>
      </w:r>
    </w:p>
    <w:p>
      <w:pPr>
        <w:pStyle w:val="ListBullet"/>
        <w:widowControl/>
        <w:numPr>
          <w:ilvl w:val="0"/>
          <w:numId w:val="1022"/>
        </w:numPr>
        <w:spacing w:after="70"/>
      </w:pPr>
      <w:r>
        <w:rPr>
          <w:rFonts w:ascii="Carlito" w:hAnsi="Carlito" w:eastAsia="Carlito"/>
        </w:rPr>
        <w:t xml:space="preserve">описание одного основного предмета и общественной цели;</w:t>
      </w:r>
    </w:p>
    <w:p>
      <w:pPr>
        <w:pStyle w:val="ListBullet"/>
        <w:widowControl/>
        <w:numPr>
          <w:ilvl w:val="0"/>
          <w:numId w:val="1022"/>
        </w:numPr>
        <w:spacing w:after="70"/>
      </w:pPr>
      <w:r>
        <w:rPr>
          <w:rFonts w:ascii="Carlito" w:hAnsi="Carlito" w:eastAsia="Carlito"/>
        </w:rPr>
        <w:t xml:space="preserve">положительный, отрицательный и воздержавшийся результат;</w:t>
      </w:r>
    </w:p>
    <w:p>
      <w:pPr>
        <w:pStyle w:val="ListBullet"/>
        <w:widowControl/>
        <w:numPr>
          <w:ilvl w:val="0"/>
          <w:numId w:val="1022"/>
        </w:numPr>
        <w:spacing w:after="70"/>
      </w:pPr>
      <w:r>
        <w:rPr>
          <w:rFonts w:ascii="Carlito" w:hAnsi="Carlito" w:eastAsia="Carlito"/>
        </w:rPr>
        <w:t xml:space="preserve">долю всего соответствующего корпуса, поддержавшую пункт;</w:t>
      </w:r>
    </w:p>
    <w:p>
      <w:pPr>
        <w:pStyle w:val="ListBullet"/>
        <w:widowControl/>
        <w:numPr>
          <w:ilvl w:val="0"/>
          <w:numId w:val="1022"/>
        </w:numPr>
        <w:spacing w:after="70"/>
      </w:pPr>
      <w:r>
        <w:rPr>
          <w:rFonts w:ascii="Carlito" w:hAnsi="Carlito" w:eastAsia="Carlito"/>
        </w:rPr>
        <w:t xml:space="preserve">применённый порог и доказательство его достижения;</w:t>
      </w:r>
    </w:p>
    <w:p>
      <w:pPr>
        <w:pStyle w:val="ListBullet"/>
        <w:widowControl/>
        <w:numPr>
          <w:ilvl w:val="0"/>
          <w:numId w:val="1022"/>
        </w:numPr>
        <w:spacing w:after="70"/>
      </w:pPr>
      <w:r>
        <w:rPr>
          <w:rFonts w:ascii="Carlito" w:hAnsi="Carlito" w:eastAsia="Carlito"/>
        </w:rPr>
        <w:t xml:space="preserve">компетентный уровень, основной адресат и известные зависимости;</w:t>
      </w:r>
    </w:p>
    <w:p>
      <w:pPr>
        <w:pStyle w:val="ListBullet"/>
        <w:widowControl/>
        <w:numPr>
          <w:ilvl w:val="0"/>
          <w:numId w:val="1022"/>
        </w:numPr>
        <w:spacing w:after="70"/>
      </w:pPr>
      <w:r>
        <w:rPr>
          <w:rFonts w:ascii="Carlito" w:hAnsi="Carlito" w:eastAsia="Carlito"/>
        </w:rPr>
        <w:t xml:space="preserve">границы правового эффекта и судебного контроля;</w:t>
      </w:r>
    </w:p>
    <w:p>
      <w:pPr>
        <w:pStyle w:val="ListBullet"/>
        <w:widowControl/>
        <w:numPr>
          <w:ilvl w:val="0"/>
          <w:numId w:val="1022"/>
        </w:numPr>
        <w:spacing w:after="70"/>
      </w:pPr>
      <w:r>
        <w:rPr>
          <w:rFonts w:ascii="Carlito" w:hAnsi="Carlito" w:eastAsia="Carlito"/>
        </w:rPr>
        <w:t xml:space="preserve">дату начала кандидатского режима и срок действия цикла;</w:t>
      </w:r>
    </w:p>
    <w:p>
      <w:pPr>
        <w:pStyle w:val="ListBullet"/>
        <w:widowControl/>
        <w:numPr>
          <w:ilvl w:val="0"/>
          <w:numId w:val="1022"/>
        </w:numPr>
        <w:spacing w:after="70"/>
      </w:pPr>
      <w:r>
        <w:rPr>
          <w:rFonts w:ascii="Carlito" w:hAnsi="Carlito" w:eastAsia="Carlito"/>
        </w:rPr>
        <w:t xml:space="preserve">криптографические и архивные признаки конкретной версии.</w:t>
      </w:r>
    </w:p>
    <w:p>
      <w:pPr>
        <w:pStyle w:val="FirstParagraph"/>
        <w:widowControl/>
      </w:pPr>
      <w:r>
        <w:rPr>
          <w:rFonts w:ascii="Carlito" w:hAnsi="Carlito" w:eastAsia="Carlito"/>
        </w:rPr>
        <w:t xml:space="preserve">После сертификации ядро не редактируется. Техническая ошибка исправляется отдельным актом с сохранением первоначальной версии, причины, автора, времени и правового эффекта исправления.</w:t>
      </w:r>
    </w:p>
    <w:bookmarkEnd w:id="68"/>
    <w:bookmarkStart w:id="69" w:name="X5c0fbcbf73c656cbcbfe2dfc2f506572b50dc11"/>
    <w:p>
      <w:pPr>
        <w:pStyle w:val="Heading2"/>
        <w:keepNext/>
        <w:keepLines/>
        <w:widowControl/>
      </w:pPr>
      <w:r>
        <w:rPr>
          <w:rFonts w:ascii="Carlito" w:hAnsi="Carlito" w:eastAsia="Carlito"/>
        </w:rPr>
        <w:t xml:space="preserve">8. Доказательственные приложения</w:t>
      </w:r>
    </w:p>
    <w:p>
      <w:pPr>
        <w:pStyle w:val="FirstParagraph"/>
        <w:keepNext/>
        <w:widowControl/>
      </w:pPr>
      <w:r>
        <w:rPr>
          <w:rFonts w:ascii="Carlito" w:hAnsi="Carlito" w:eastAsia="Carlito"/>
        </w:rPr>
        <w:t xml:space="preserve">К мандату прилагаются замороженные на дату сертификации материалы:</w:t>
      </w:r>
    </w:p>
    <w:p>
      <w:pPr>
        <w:pStyle w:val="ListBullet"/>
        <w:widowControl/>
        <w:numPr>
          <w:ilvl w:val="0"/>
          <w:numId w:val="1023"/>
        </w:numPr>
        <w:spacing w:after="70"/>
      </w:pPr>
      <w:r>
        <w:rPr>
          <w:rFonts w:ascii="Carlito" w:hAnsi="Carlito" w:eastAsia="Carlito"/>
        </w:rPr>
        <w:t xml:space="preserve">карта всей цепочки от инициативы до финальной формулировки;</w:t>
      </w:r>
    </w:p>
    <w:p>
      <w:pPr>
        <w:pStyle w:val="ListBullet"/>
        <w:widowControl/>
        <w:numPr>
          <w:ilvl w:val="0"/>
          <w:numId w:val="1023"/>
        </w:numPr>
        <w:spacing w:after="70"/>
      </w:pPr>
      <w:r>
        <w:rPr>
          <w:rFonts w:ascii="Carlito" w:hAnsi="Carlito" w:eastAsia="Carlito"/>
        </w:rPr>
        <w:t xml:space="preserve">структура поддержки и безопасная агрегированная статистика участия;</w:t>
      </w:r>
    </w:p>
    <w:p>
      <w:pPr>
        <w:pStyle w:val="ListBullet"/>
        <w:widowControl/>
        <w:numPr>
          <w:ilvl w:val="0"/>
          <w:numId w:val="1023"/>
        </w:numPr>
        <w:spacing w:after="70"/>
      </w:pPr>
      <w:r>
        <w:rPr>
          <w:rFonts w:ascii="Carlito" w:hAnsi="Carlito" w:eastAsia="Carlito"/>
        </w:rPr>
        <w:t xml:space="preserve">экспертизы последствий, альтернативные модели и особые мнения;</w:t>
      </w:r>
    </w:p>
    <w:p>
      <w:pPr>
        <w:pStyle w:val="ListBullet"/>
        <w:widowControl/>
        <w:numPr>
          <w:ilvl w:val="0"/>
          <w:numId w:val="1023"/>
        </w:numPr>
        <w:spacing w:after="70"/>
      </w:pPr>
      <w:r>
        <w:rPr>
          <w:rFonts w:ascii="Carlito" w:hAnsi="Carlito" w:eastAsia="Carlito"/>
        </w:rPr>
        <w:t xml:space="preserve">правовое заключение и решения по допустимости;</w:t>
      </w:r>
    </w:p>
    <w:p>
      <w:pPr>
        <w:pStyle w:val="ListBullet"/>
        <w:widowControl/>
        <w:numPr>
          <w:ilvl w:val="0"/>
          <w:numId w:val="1023"/>
        </w:numPr>
        <w:spacing w:after="70"/>
      </w:pPr>
      <w:r>
        <w:rPr>
          <w:rFonts w:ascii="Carlito" w:hAnsi="Carlito" w:eastAsia="Carlito"/>
        </w:rPr>
        <w:t xml:space="preserve">финансовые сценарии и конкуренция ресурсов;</w:t>
      </w:r>
    </w:p>
    <w:p>
      <w:pPr>
        <w:pStyle w:val="ListBullet"/>
        <w:widowControl/>
        <w:numPr>
          <w:ilvl w:val="0"/>
          <w:numId w:val="1023"/>
        </w:numPr>
        <w:spacing w:after="70"/>
      </w:pPr>
      <w:r>
        <w:rPr>
          <w:rFonts w:ascii="Carlito" w:hAnsi="Carlito" w:eastAsia="Carlito"/>
        </w:rPr>
        <w:t xml:space="preserve">официальный информационный пакет;</w:t>
      </w:r>
    </w:p>
    <w:p>
      <w:pPr>
        <w:pStyle w:val="ListBullet"/>
        <w:widowControl/>
        <w:numPr>
          <w:ilvl w:val="0"/>
          <w:numId w:val="1023"/>
        </w:numPr>
        <w:spacing w:after="70"/>
      </w:pPr>
      <w:r>
        <w:rPr>
          <w:rFonts w:ascii="Carlito" w:hAnsi="Carlito" w:eastAsia="Carlito"/>
        </w:rPr>
        <w:t xml:space="preserve">первичные протоколы, результаты аудита и пересчёта;</w:t>
      </w:r>
    </w:p>
    <w:p>
      <w:pPr>
        <w:pStyle w:val="ListBullet"/>
        <w:widowControl/>
        <w:numPr>
          <w:ilvl w:val="0"/>
          <w:numId w:val="1023"/>
        </w:numPr>
        <w:spacing w:after="70"/>
      </w:pPr>
      <w:r>
        <w:rPr>
          <w:rFonts w:ascii="Carlito" w:hAnsi="Carlito" w:eastAsia="Carlito"/>
        </w:rPr>
        <w:t xml:space="preserve">решения по существенным жалобам;</w:t>
      </w:r>
    </w:p>
    <w:p>
      <w:pPr>
        <w:pStyle w:val="ListBullet"/>
        <w:widowControl/>
        <w:numPr>
          <w:ilvl w:val="0"/>
          <w:numId w:val="1023"/>
        </w:numPr>
        <w:spacing w:after="70"/>
      </w:pPr>
      <w:r>
        <w:rPr>
          <w:rFonts w:ascii="Carlito" w:hAnsi="Carlito" w:eastAsia="Carlito"/>
        </w:rPr>
        <w:t xml:space="preserve">описание технической реализации и ограничений проверки;</w:t>
      </w:r>
    </w:p>
    <w:p>
      <w:pPr>
        <w:pStyle w:val="ListBullet"/>
        <w:widowControl/>
        <w:numPr>
          <w:ilvl w:val="0"/>
          <w:numId w:val="1023"/>
        </w:numPr>
        <w:spacing w:after="70"/>
      </w:pPr>
      <w:r>
        <w:rPr>
          <w:rFonts w:ascii="Carlito" w:hAnsi="Carlito" w:eastAsia="Carlito"/>
        </w:rPr>
        <w:t xml:space="preserve">перечень известных остаточных рисков.</w:t>
      </w:r>
    </w:p>
    <w:p>
      <w:pPr>
        <w:pStyle w:val="FirstParagraph"/>
        <w:widowControl/>
      </w:pPr>
      <w:r>
        <w:rPr>
          <w:rFonts w:ascii="Carlito" w:hAnsi="Carlito" w:eastAsia="Carlito"/>
        </w:rPr>
        <w:t xml:space="preserve">Приложение не может незаметно изменять ядро. При противоречии приоритет имеет сертифицированная формулировка, а неоднозначность не используется для расширения обязанности адресата.</w:t>
      </w:r>
    </w:p>
    <w:bookmarkEnd w:id="69"/>
    <w:bookmarkStart w:id="70" w:name="X9e560e8a2fe743cd7a57272cb5356e0ba529cc4"/>
    <w:p>
      <w:pPr>
        <w:pStyle w:val="Heading2"/>
        <w:keepNext/>
        <w:keepLines/>
        <w:widowControl/>
      </w:pPr>
      <w:r>
        <w:rPr>
          <w:rFonts w:ascii="Carlito" w:hAnsi="Carlito" w:eastAsia="Carlito"/>
        </w:rPr>
        <w:t xml:space="preserve">9. Документы, не входящие в мандат</w:t>
      </w:r>
    </w:p>
    <w:p>
      <w:pPr>
        <w:pStyle w:val="FirstParagraph"/>
        <w:keepNext/>
        <w:widowControl/>
      </w:pPr>
      <w:r>
        <w:rPr>
          <w:rFonts w:ascii="Carlito" w:hAnsi="Carlito" w:eastAsia="Carlito"/>
        </w:rPr>
        <w:t xml:space="preserve">Не являются частью общественного мандата:</w:t>
      </w:r>
    </w:p>
    <w:p>
      <w:pPr>
        <w:pStyle w:val="ListBullet"/>
        <w:widowControl/>
        <w:numPr>
          <w:ilvl w:val="0"/>
          <w:numId w:val="1024"/>
        </w:numPr>
        <w:spacing w:after="70"/>
      </w:pPr>
      <w:r>
        <w:rPr>
          <w:rFonts w:ascii="Carlito" w:hAnsi="Carlito" w:eastAsia="Carlito"/>
        </w:rPr>
        <w:t xml:space="preserve">декларации кандидатов и партий;</w:t>
      </w:r>
    </w:p>
    <w:p>
      <w:pPr>
        <w:pStyle w:val="ListBullet"/>
        <w:widowControl/>
        <w:numPr>
          <w:ilvl w:val="0"/>
          <w:numId w:val="1024"/>
        </w:numPr>
        <w:spacing w:after="70"/>
      </w:pPr>
      <w:r>
        <w:rPr>
          <w:rFonts w:ascii="Carlito" w:hAnsi="Carlito" w:eastAsia="Carlito"/>
        </w:rPr>
        <w:t xml:space="preserve">предвыборные программы;</w:t>
      </w:r>
    </w:p>
    <w:p>
      <w:pPr>
        <w:pStyle w:val="ListBullet"/>
        <w:widowControl/>
        <w:numPr>
          <w:ilvl w:val="0"/>
          <w:numId w:val="1024"/>
        </w:numPr>
        <w:spacing w:after="70"/>
      </w:pPr>
      <w:r>
        <w:rPr>
          <w:rFonts w:ascii="Carlito" w:hAnsi="Carlito" w:eastAsia="Carlito"/>
        </w:rPr>
        <w:t xml:space="preserve">коалиционные соглашения;</w:t>
      </w:r>
    </w:p>
    <w:p>
      <w:pPr>
        <w:pStyle w:val="ListBullet"/>
        <w:widowControl/>
        <w:numPr>
          <w:ilvl w:val="0"/>
          <w:numId w:val="1024"/>
        </w:numPr>
        <w:spacing w:after="70"/>
      </w:pPr>
      <w:r>
        <w:rPr>
          <w:rFonts w:ascii="Carlito" w:hAnsi="Carlito" w:eastAsia="Carlito"/>
        </w:rPr>
        <w:t>реестр подотчётной реализации;</w:t>
      </w:r>
    </w:p>
    <w:p>
      <w:pPr>
        <w:pStyle w:val="ListBullet"/>
        <w:widowControl/>
        <w:numPr>
          <w:ilvl w:val="0"/>
          <w:numId w:val="1024"/>
        </w:numPr>
        <w:spacing w:after="70"/>
      </w:pPr>
      <w:r>
        <w:rPr>
          <w:rFonts w:ascii="Carlito" w:hAnsi="Carlito" w:eastAsia="Carlito"/>
        </w:rPr>
        <w:t xml:space="preserve">дорожные карты и бюджетные предложения;</w:t>
      </w:r>
    </w:p>
    <w:p>
      <w:pPr>
        <w:pStyle w:val="ListBullet"/>
        <w:widowControl/>
        <w:numPr>
          <w:ilvl w:val="0"/>
          <w:numId w:val="1024"/>
        </w:numPr>
        <w:spacing w:after="70"/>
      </w:pPr>
      <w:r>
        <w:rPr>
          <w:rFonts w:ascii="Carlito" w:hAnsi="Carlito" w:eastAsia="Carlito"/>
        </w:rPr>
        <w:t xml:space="preserve">текущие данные и панели мониторинга;</w:t>
      </w:r>
    </w:p>
    <w:p>
      <w:pPr>
        <w:pStyle w:val="ListBullet"/>
        <w:widowControl/>
        <w:numPr>
          <w:ilvl w:val="0"/>
          <w:numId w:val="1024"/>
        </w:numPr>
        <w:spacing w:after="70"/>
      </w:pPr>
      <w:r>
        <w:rPr>
          <w:rFonts w:ascii="Carlito" w:hAnsi="Carlito" w:eastAsia="Carlito"/>
        </w:rPr>
        <w:t xml:space="preserve">промежуточные и итоговые оценки;</w:t>
      </w:r>
    </w:p>
    <w:p>
      <w:pPr>
        <w:pStyle w:val="ListBullet"/>
        <w:widowControl/>
        <w:numPr>
          <w:ilvl w:val="0"/>
          <w:numId w:val="1024"/>
        </w:numPr>
        <w:spacing w:after="70"/>
      </w:pPr>
      <w:r>
        <w:rPr>
          <w:rFonts w:ascii="Carlito" w:hAnsi="Carlito" w:eastAsia="Carlito"/>
        </w:rPr>
        <w:t xml:space="preserve">политические комментарии органов власти, экспертов или СМИ.</w:t>
      </w:r>
    </w:p>
    <w:p>
      <w:pPr>
        <w:pStyle w:val="FirstParagraph"/>
        <w:widowControl/>
      </w:pPr>
      <w:r>
        <w:rPr>
          <w:rFonts w:ascii="Carlito" w:hAnsi="Carlito" w:eastAsia="Carlito"/>
        </w:rPr>
        <w:t xml:space="preserve">Эти документы связываются стабильными идентификаторами и отображаются рядом для удобства, но визуально и юридически отделяются. Их изменение не изменяет общественный мандат.</w:t>
      </w:r>
    </w:p>
    <w:bookmarkEnd w:id="70"/>
    <w:bookmarkStart w:id="71" w:name="X83e3f4083d7dbabf9e12b039bc0a6de3dce4e8b"/>
    <w:p>
      <w:pPr>
        <w:pStyle w:val="Heading2"/>
        <w:keepNext/>
        <w:keepLines/>
        <w:widowControl/>
      </w:pPr>
      <w:r>
        <w:rPr>
          <w:rFonts w:ascii="Carlito" w:hAnsi="Carlito" w:eastAsia="Carlito"/>
        </w:rPr>
        <w:t xml:space="preserve">10. Обязательные последствия публикации</w:t>
      </w:r>
    </w:p>
    <w:p>
      <w:pPr>
        <w:pStyle w:val="FirstParagraph"/>
        <w:keepNext/>
        <w:widowControl/>
      </w:pPr>
      <w:r>
        <w:rPr>
          <w:rFonts w:ascii="Carlito" w:hAnsi="Carlito" w:eastAsia="Carlito"/>
        </w:rPr>
        <w:t xml:space="preserve">С момента сертификации и официальной публикации:</w:t>
      </w:r>
    </w:p>
    <w:p>
      <w:pPr>
        <w:pStyle w:val="ListBullet"/>
        <w:widowControl/>
        <w:numPr>
          <w:ilvl w:val="0"/>
          <w:numId w:val="1025"/>
        </w:numPr>
        <w:spacing w:after="70"/>
      </w:pPr>
      <w:r>
        <w:rPr>
          <w:rFonts w:ascii="Carlito" w:hAnsi="Carlito" w:eastAsia="Carlito"/>
        </w:rPr>
        <w:t xml:space="preserve">все кандидаты получают одну и ту же неизменяемую версию;</w:t>
      </w:r>
    </w:p>
    <w:p>
      <w:pPr>
        <w:pStyle w:val="ListBullet"/>
        <w:widowControl/>
        <w:numPr>
          <w:ilvl w:val="0"/>
          <w:numId w:val="1025"/>
        </w:numPr>
        <w:spacing w:after="70"/>
      </w:pPr>
      <w:r>
        <w:rPr>
          <w:rFonts w:ascii="Carlito" w:hAnsi="Carlito" w:eastAsia="Carlito"/>
        </w:rPr>
        <w:t xml:space="preserve">начинается установленный срок деклараций;</w:t>
      </w:r>
    </w:p>
    <w:p>
      <w:pPr>
        <w:pStyle w:val="ListBullet"/>
        <w:widowControl/>
        <w:numPr>
          <w:ilvl w:val="0"/>
          <w:numId w:val="1025"/>
        </w:numPr>
        <w:spacing w:after="70"/>
      </w:pPr>
      <w:r>
        <w:rPr>
          <w:rFonts w:ascii="Carlito" w:hAnsi="Carlito" w:eastAsia="Carlito"/>
        </w:rPr>
        <w:t xml:space="preserve">официальные информационные ресурсы обязаны представить ответы сопоставимо и нейтрально;</w:t>
      </w:r>
    </w:p>
    <w:p>
      <w:pPr>
        <w:pStyle w:val="ListBullet"/>
        <w:widowControl/>
        <w:numPr>
          <w:ilvl w:val="0"/>
          <w:numId w:val="1025"/>
        </w:numPr>
        <w:spacing w:after="70"/>
      </w:pPr>
      <w:r>
        <w:rPr>
          <w:rFonts w:ascii="Carlito" w:hAnsi="Carlito" w:eastAsia="Carlito"/>
        </w:rPr>
        <w:t xml:space="preserve">ни один орган не может заменить формулировку удобным кратким пересказом без ссылки на полный текст;</w:t>
      </w:r>
    </w:p>
    <w:p>
      <w:pPr>
        <w:pStyle w:val="ListBullet"/>
        <w:widowControl/>
        <w:numPr>
          <w:ilvl w:val="0"/>
          <w:numId w:val="1025"/>
        </w:numPr>
        <w:spacing w:after="70"/>
      </w:pPr>
      <w:r>
        <w:rPr>
          <w:rFonts w:ascii="Carlito" w:hAnsi="Carlito" w:eastAsia="Carlito"/>
        </w:rPr>
        <w:t xml:space="preserve">после выборов принятые победителем позиции связываются с реестром подотчётной реализации;</w:t>
      </w:r>
    </w:p>
    <w:p>
      <w:pPr>
        <w:pStyle w:val="ListBullet"/>
        <w:widowControl/>
        <w:numPr>
          <w:ilvl w:val="0"/>
          <w:numId w:val="1025"/>
        </w:numPr>
        <w:spacing w:after="70"/>
      </w:pPr>
      <w:r>
        <w:rPr>
          <w:rFonts w:ascii="Carlito" w:hAnsi="Carlito" w:eastAsia="Carlito"/>
        </w:rPr>
        <w:t xml:space="preserve">история сохраняется для парламентского контроля, общественной оценки и следующего цикла.</w:t>
      </w:r>
    </w:p>
    <w:p>
      <w:pPr>
        <w:pStyle w:val="FirstParagraph"/>
        <w:widowControl/>
      </w:pPr>
      <w:r>
        <w:rPr>
          <w:rFonts w:ascii="Carlito" w:hAnsi="Carlito" w:eastAsia="Carlito"/>
        </w:rPr>
        <w:t xml:space="preserve">Если национальная полная модель устанавливает предел отказа кандидата, он применяется только к пунктам сертифицированного мандата и по правилам главы V и главы XX. Неутверждённая инициатива не может быть добавлена органом в обязательный кандидатский перечень.</w:t>
      </w:r>
    </w:p>
    <w:bookmarkEnd w:id="71"/>
    <w:bookmarkStart w:id="72" w:name="X13865245233f26dda1421d7920affaecd12af99"/>
    <w:p>
      <w:pPr>
        <w:pStyle w:val="Heading2"/>
        <w:keepNext/>
        <w:keepLines/>
        <w:widowControl/>
      </w:pPr>
      <w:r>
        <w:rPr>
          <w:rFonts w:ascii="Carlito" w:hAnsi="Carlito" w:eastAsia="Carlito"/>
        </w:rPr>
        <w:t xml:space="preserve">11. Публичный реестр общественных мандатов</w:t>
      </w:r>
    </w:p>
    <w:p>
      <w:pPr>
        <w:pStyle w:val="FirstParagraph"/>
        <w:widowControl/>
      </w:pPr>
      <w:r>
        <w:rPr>
          <w:rFonts w:ascii="Carlito" w:hAnsi="Carlito" w:eastAsia="Carlito"/>
        </w:rPr>
        <w:t xml:space="preserve">Создаётся публичный архивный реестр циклов, а не база индивидуального политического поведения. Он содержит документы, агрегированные результаты, версии, доказательства целостности и связи с последующими публичными актами.</w:t>
      </w:r>
    </w:p>
    <w:p>
      <w:pPr>
        <w:keepNext/>
        <w:widowControl/>
      </w:pPr>
      <w:r>
        <w:rPr>
          <w:rFonts w:ascii="Carlito" w:hAnsi="Carlito" w:eastAsia="Carlito"/>
        </w:rPr>
        <w:t xml:space="preserve">Реестр строится на принципах:</w:t>
      </w:r>
    </w:p>
    <w:p>
      <w:pPr>
        <w:pStyle w:val="ListBullet"/>
        <w:widowControl/>
        <w:numPr>
          <w:ilvl w:val="0"/>
          <w:numId w:val="1026"/>
        </w:numPr>
        <w:spacing w:after="70"/>
      </w:pPr>
      <w:r>
        <w:rPr>
          <w:rFonts w:ascii="Carlito" w:hAnsi="Carlito" w:eastAsia="Carlito"/>
        </w:rPr>
        <w:t xml:space="preserve">неизменяемой истории;</w:t>
      </w:r>
    </w:p>
    <w:p>
      <w:pPr>
        <w:pStyle w:val="ListBullet"/>
        <w:widowControl/>
        <w:numPr>
          <w:ilvl w:val="0"/>
          <w:numId w:val="1026"/>
        </w:numPr>
        <w:spacing w:after="70"/>
      </w:pPr>
      <w:r>
        <w:rPr>
          <w:rFonts w:ascii="Carlito" w:hAnsi="Carlito" w:eastAsia="Carlito"/>
        </w:rPr>
        <w:t xml:space="preserve">открытых и долговечных форматов;</w:t>
      </w:r>
    </w:p>
    <w:p>
      <w:pPr>
        <w:pStyle w:val="ListBullet"/>
        <w:widowControl/>
        <w:numPr>
          <w:ilvl w:val="0"/>
          <w:numId w:val="1026"/>
        </w:numPr>
        <w:spacing w:after="70"/>
      </w:pPr>
      <w:r>
        <w:rPr>
          <w:rFonts w:ascii="Carlito" w:hAnsi="Carlito" w:eastAsia="Carlito"/>
        </w:rPr>
        <w:t xml:space="preserve">распределённых независимых копий;</w:t>
      </w:r>
    </w:p>
    <w:p>
      <w:pPr>
        <w:pStyle w:val="ListBullet"/>
        <w:widowControl/>
        <w:numPr>
          <w:ilvl w:val="0"/>
          <w:numId w:val="1026"/>
        </w:numPr>
        <w:spacing w:after="70"/>
      </w:pPr>
      <w:r>
        <w:rPr>
          <w:rFonts w:ascii="Carlito" w:hAnsi="Carlito" w:eastAsia="Carlito"/>
        </w:rPr>
        <w:t xml:space="preserve">публичных контрольных сумм;</w:t>
      </w:r>
    </w:p>
    <w:p>
      <w:pPr>
        <w:pStyle w:val="ListBullet"/>
        <w:widowControl/>
        <w:numPr>
          <w:ilvl w:val="0"/>
          <w:numId w:val="1026"/>
        </w:numPr>
        <w:spacing w:after="70"/>
      </w:pPr>
      <w:r>
        <w:rPr>
          <w:rFonts w:ascii="Carlito" w:hAnsi="Carlito" w:eastAsia="Carlito"/>
        </w:rPr>
        <w:t xml:space="preserve">доступной бумажной или офлайн-архивной формы;</w:t>
      </w:r>
    </w:p>
    <w:p>
      <w:pPr>
        <w:pStyle w:val="ListBullet"/>
        <w:widowControl/>
        <w:numPr>
          <w:ilvl w:val="0"/>
          <w:numId w:val="1026"/>
        </w:numPr>
        <w:spacing w:after="70"/>
      </w:pPr>
      <w:r>
        <w:rPr>
          <w:rFonts w:ascii="Carlito" w:hAnsi="Carlito" w:eastAsia="Carlito"/>
        </w:rPr>
        <w:t xml:space="preserve">запрета удаления неудобного цикла;</w:t>
      </w:r>
    </w:p>
    <w:p>
      <w:pPr>
        <w:pStyle w:val="ListBullet"/>
        <w:widowControl/>
        <w:numPr>
          <w:ilvl w:val="0"/>
          <w:numId w:val="1026"/>
        </w:numPr>
        <w:spacing w:after="70"/>
      </w:pPr>
      <w:r>
        <w:rPr>
          <w:rFonts w:ascii="Carlito" w:hAnsi="Carlito" w:eastAsia="Carlito"/>
        </w:rPr>
        <w:t xml:space="preserve">отделения политических данных граждан от публичных агрегатов;</w:t>
      </w:r>
    </w:p>
    <w:p>
      <w:pPr>
        <w:pStyle w:val="ListBullet"/>
        <w:widowControl/>
        <w:numPr>
          <w:ilvl w:val="0"/>
          <w:numId w:val="1026"/>
        </w:numPr>
        <w:spacing w:after="70"/>
      </w:pPr>
      <w:r>
        <w:rPr>
          <w:rFonts w:ascii="Carlito" w:hAnsi="Carlito" w:eastAsia="Carlito"/>
        </w:rPr>
        <w:t xml:space="preserve">миграции форматов без изменения содержания.</w:t>
      </w:r>
    </w:p>
    <w:p>
      <w:pPr>
        <w:pStyle w:val="FirstParagraph"/>
        <w:widowControl/>
      </w:pPr>
      <w:r>
        <w:rPr>
          <w:rFonts w:ascii="Carlito" w:hAnsi="Carlito" w:eastAsia="Carlito"/>
        </w:rPr>
        <w:t xml:space="preserve">Ни один подрядчик не получает технологическую монополию на чтение, проверку или перенос архива. Возможность независимой репликации является условием готовности.</w:t>
      </w:r>
    </w:p>
    <w:bookmarkEnd w:id="72"/>
    <w:bookmarkStart w:id="73" w:name="X240ea012615e2798bd4b02838e3eb42785e338b"/>
    <w:p>
      <w:pPr>
        <w:pStyle w:val="Heading2"/>
        <w:keepNext/>
        <w:keepLines/>
        <w:widowControl/>
      </w:pPr>
      <w:r>
        <w:rPr>
          <w:rFonts w:ascii="Carlito" w:hAnsi="Carlito" w:eastAsia="Carlito"/>
        </w:rPr>
        <w:t xml:space="preserve">12. Срок действия и фазы мандата</w:t>
      </w:r>
    </w:p>
    <w:p>
      <w:pPr>
        <w:pStyle w:val="FirstParagraph"/>
        <w:keepNext/>
        <w:widowControl/>
      </w:pPr>
      <w:r>
        <w:rPr>
          <w:rFonts w:ascii="Carlito" w:hAnsi="Carlito" w:eastAsia="Carlito"/>
        </w:rPr>
        <w:t xml:space="preserve">Общественный мандат относится к конкретному электоральному циклу. Он проходит три информационные фазы:</w:t>
      </w:r>
    </w:p>
    <w:p>
      <w:pPr>
        <w:pStyle w:val="ListBullet"/>
        <w:widowControl/>
        <w:numPr>
          <w:ilvl w:val="0"/>
          <w:numId w:val="1027"/>
        </w:numPr>
        <w:spacing w:after="70"/>
      </w:pPr>
      <w:r>
        <w:rPr>
          <w:rFonts w:ascii="Carlito" w:hAnsi="Carlito" w:eastAsia="Carlito"/>
        </w:rPr>
        <w:t xml:space="preserve">предвыборную — от сертификации до установления результата выборов;</w:t>
      </w:r>
    </w:p>
    <w:p>
      <w:pPr>
        <w:pStyle w:val="ListBullet"/>
        <w:widowControl/>
        <w:numPr>
          <w:ilvl w:val="0"/>
          <w:numId w:val="1027"/>
        </w:numPr>
        <w:spacing w:after="70"/>
      </w:pPr>
      <w:r>
        <w:rPr>
          <w:rFonts w:ascii="Carlito" w:hAnsi="Carlito" w:eastAsia="Carlito"/>
        </w:rPr>
        <w:t xml:space="preserve">фазу реализации — в течение полномочий избранного субъекта, чья декларация стала основанием реестра;</w:t>
      </w:r>
    </w:p>
    <w:p>
      <w:pPr>
        <w:pStyle w:val="ListBullet"/>
        <w:widowControl/>
        <w:numPr>
          <w:ilvl w:val="0"/>
          <w:numId w:val="1027"/>
        </w:numPr>
        <w:spacing w:after="70"/>
      </w:pPr>
      <w:r>
        <w:rPr>
          <w:rFonts w:ascii="Carlito" w:hAnsi="Carlito" w:eastAsia="Carlito"/>
        </w:rPr>
        <w:t xml:space="preserve">архивно-оценочную — после окончания полномочий и публикации итоговой оценки.</w:t>
      </w:r>
    </w:p>
    <w:p>
      <w:pPr>
        <w:pStyle w:val="FirstParagraph"/>
        <w:widowControl/>
      </w:pPr>
      <w:r>
        <w:rPr>
          <w:rFonts w:ascii="Carlito" w:hAnsi="Carlito" w:eastAsia="Carlito"/>
        </w:rPr>
        <w:t xml:space="preserve">Окончание цикла прекращает специальный режим политической подотчётности конкретного победителя, но не стирает законы, бюджеты, договоры и иные акты, принятые в обычном порядке. Новый состав власти не наследует персональные политические обязательства автоматически.</w:t>
      </w:r>
    </w:p>
    <w:p>
      <w:pPr>
        <w:widowControl/>
      </w:pPr>
      <w:r>
        <w:rPr>
          <w:rFonts w:ascii="Carlito" w:hAnsi="Carlito" w:eastAsia="Carlito"/>
        </w:rPr>
        <w:t xml:space="preserve">Долгосрочная цель, объективно превышающая один срок, может быть продолжена новым кандидатом только через новую декларацию либо действующее обычное право. Архив прежнего мандата не создаёт презумпции обязательного продолжения.</w:t>
      </w:r>
    </w:p>
    <w:bookmarkEnd w:id="73"/>
    <w:bookmarkStart w:id="74" w:name="Xfd6123a21532bd08f9fd01433cb100b3b4afaf6"/>
    <w:p>
      <w:pPr>
        <w:pStyle w:val="Heading2"/>
        <w:keepNext/>
        <w:keepLines/>
        <w:widowControl/>
      </w:pPr>
      <w:r>
        <w:rPr>
          <w:rFonts w:ascii="Carlito" w:hAnsi="Carlito" w:eastAsia="Carlito"/>
        </w:rPr>
        <w:t xml:space="preserve">13. Статусы документа</w:t>
      </w:r>
    </w:p>
    <w:p>
      <w:pPr>
        <w:pStyle w:val="FirstParagraph"/>
        <w:keepNext/>
        <w:widowControl/>
      </w:pPr>
      <w:r>
        <w:rPr>
          <w:rFonts w:ascii="Carlito" w:hAnsi="Carlito" w:eastAsia="Carlito"/>
        </w:rPr>
        <w:t xml:space="preserve">Для навигации допускаются только процессуальные статусы, не подменяющие оценку содержания:</w:t>
      </w:r>
    </w:p>
    <w:p>
      <w:pPr>
        <w:pStyle w:val="ListBullet"/>
        <w:widowControl/>
        <w:numPr>
          <w:ilvl w:val="0"/>
          <w:numId w:val="1028"/>
        </w:numPr>
        <w:spacing w:after="70"/>
      </w:pPr>
      <w:r>
        <w:rPr>
          <w:rFonts w:ascii="Carlito" w:hAnsi="Carlito" w:eastAsia="Carlito"/>
        </w:rPr>
        <w:t xml:space="preserve">сформирован и ожидает полной сертификации;</w:t>
      </w:r>
    </w:p>
    <w:p>
      <w:pPr>
        <w:pStyle w:val="ListBullet"/>
        <w:widowControl/>
        <w:numPr>
          <w:ilvl w:val="0"/>
          <w:numId w:val="1028"/>
        </w:numPr>
        <w:spacing w:after="70"/>
      </w:pPr>
      <w:r>
        <w:rPr>
          <w:rFonts w:ascii="Carlito" w:hAnsi="Carlito" w:eastAsia="Carlito"/>
        </w:rPr>
        <w:t xml:space="preserve">сертифицирован полностью;</w:t>
      </w:r>
    </w:p>
    <w:p>
      <w:pPr>
        <w:pStyle w:val="ListBullet"/>
        <w:widowControl/>
        <w:numPr>
          <w:ilvl w:val="0"/>
          <w:numId w:val="1028"/>
        </w:numPr>
        <w:spacing w:after="70"/>
      </w:pPr>
      <w:r>
        <w:rPr>
          <w:rFonts w:ascii="Carlito" w:hAnsi="Carlito" w:eastAsia="Carlito"/>
        </w:rPr>
        <w:t xml:space="preserve">сертифицирован частично;</w:t>
      </w:r>
    </w:p>
    <w:p>
      <w:pPr>
        <w:pStyle w:val="ListBullet"/>
        <w:widowControl/>
        <w:numPr>
          <w:ilvl w:val="0"/>
          <w:numId w:val="1028"/>
        </w:numPr>
        <w:spacing w:after="70"/>
      </w:pPr>
      <w:r>
        <w:rPr>
          <w:rFonts w:ascii="Carlito" w:hAnsi="Carlito" w:eastAsia="Carlito"/>
        </w:rPr>
        <w:t xml:space="preserve">отдельный пункт находится на повторном голосовании или в судебном рассмотрении;</w:t>
      </w:r>
    </w:p>
    <w:p>
      <w:pPr>
        <w:pStyle w:val="ListBullet"/>
        <w:widowControl/>
        <w:numPr>
          <w:ilvl w:val="0"/>
          <w:numId w:val="1028"/>
        </w:numPr>
        <w:spacing w:after="70"/>
      </w:pPr>
      <w:r>
        <w:rPr>
          <w:rFonts w:ascii="Carlito" w:hAnsi="Carlito" w:eastAsia="Carlito"/>
        </w:rPr>
        <w:t xml:space="preserve">передан кандидатам;</w:t>
      </w:r>
    </w:p>
    <w:p>
      <w:pPr>
        <w:pStyle w:val="ListBullet"/>
        <w:widowControl/>
        <w:numPr>
          <w:ilvl w:val="0"/>
          <w:numId w:val="1028"/>
        </w:numPr>
        <w:spacing w:after="70"/>
      </w:pPr>
      <w:r>
        <w:rPr>
          <w:rFonts w:ascii="Carlito" w:hAnsi="Carlito" w:eastAsia="Carlito"/>
        </w:rPr>
        <w:t xml:space="preserve">связан с реестром победителя;</w:t>
      </w:r>
    </w:p>
    <w:p>
      <w:pPr>
        <w:pStyle w:val="ListBullet"/>
        <w:widowControl/>
        <w:numPr>
          <w:ilvl w:val="0"/>
          <w:numId w:val="1028"/>
        </w:numPr>
        <w:spacing w:after="70"/>
      </w:pPr>
      <w:r>
        <w:rPr>
          <w:rFonts w:ascii="Carlito" w:hAnsi="Carlito" w:eastAsia="Carlito"/>
        </w:rPr>
        <w:t xml:space="preserve">цикл завершён и архивирован.</w:t>
      </w:r>
    </w:p>
    <w:p>
      <w:pPr>
        <w:pStyle w:val="FirstParagraph"/>
        <w:widowControl/>
      </w:pPr>
      <w:r>
        <w:rPr>
          <w:rFonts w:ascii="Carlito" w:hAnsi="Carlito" w:eastAsia="Carlito"/>
        </w:rPr>
        <w:t xml:space="preserve">Статусы «правильный», «приоритетный для государства», «исполнен в целом» или единый процент соответствия не присваиваются общественному мандату официальным оператором.</w:t>
      </w:r>
    </w:p>
    <w:bookmarkEnd w:id="74"/>
    <w:bookmarkStart w:id="75" w:name="Xebd1a322ab7a070b8aa680f66c733b8902e27f2"/>
    <w:p>
      <w:pPr>
        <w:pStyle w:val="Heading2"/>
        <w:keepNext/>
        <w:keepLines/>
        <w:widowControl/>
      </w:pPr>
      <w:r>
        <w:rPr>
          <w:rFonts w:ascii="Carlito" w:hAnsi="Carlito" w:eastAsia="Carlito"/>
        </w:rPr>
        <w:t xml:space="preserve">14. Правила официального цитирования и представления</w:t>
      </w:r>
    </w:p>
    <w:p>
      <w:pPr>
        <w:pStyle w:val="FirstParagraph"/>
        <w:widowControl/>
      </w:pPr>
      <w:r>
        <w:rPr>
          <w:rFonts w:ascii="Carlito" w:hAnsi="Carlito" w:eastAsia="Carlito"/>
        </w:rPr>
        <w:t xml:space="preserve">Официальное сообщение о пункте обязано сохранять одновременно формулировку, масштаб поддержки и предел правового эффекта. Нельзя цитировать только желаемую цель, скрывая явку, несогласие, зависимость от иных органов или отсутствие прямого действия.</w:t>
      </w:r>
    </w:p>
    <w:p>
      <w:pPr>
        <w:keepNext/>
        <w:widowControl/>
      </w:pPr>
      <w:r>
        <w:rPr>
          <w:rFonts w:ascii="Carlito" w:hAnsi="Carlito" w:eastAsia="Carlito"/>
        </w:rPr>
        <w:t xml:space="preserve">Краткое представление содержит не менее:</w:t>
      </w:r>
    </w:p>
    <w:p>
      <w:pPr>
        <w:pStyle w:val="ListBullet"/>
        <w:widowControl/>
        <w:numPr>
          <w:ilvl w:val="0"/>
          <w:numId w:val="1029"/>
        </w:numPr>
        <w:spacing w:after="70"/>
      </w:pPr>
      <w:r>
        <w:rPr>
          <w:rFonts w:ascii="Carlito" w:hAnsi="Carlito" w:eastAsia="Carlito"/>
        </w:rPr>
        <w:t xml:space="preserve">названия и идентификатора пункта;</w:t>
      </w:r>
    </w:p>
    <w:p>
      <w:pPr>
        <w:pStyle w:val="ListBullet"/>
        <w:widowControl/>
        <w:numPr>
          <w:ilvl w:val="0"/>
          <w:numId w:val="1029"/>
        </w:numPr>
        <w:spacing w:after="70"/>
      </w:pPr>
      <w:r>
        <w:rPr>
          <w:rFonts w:ascii="Carlito" w:hAnsi="Carlito" w:eastAsia="Carlito"/>
        </w:rPr>
        <w:t xml:space="preserve">краткой дословно проверенной формулировки;</w:t>
      </w:r>
    </w:p>
    <w:p>
      <w:pPr>
        <w:pStyle w:val="ListBullet"/>
        <w:widowControl/>
        <w:numPr>
          <w:ilvl w:val="0"/>
          <w:numId w:val="1029"/>
        </w:numPr>
        <w:spacing w:after="70"/>
      </w:pPr>
      <w:r>
        <w:rPr>
          <w:rFonts w:ascii="Carlito" w:hAnsi="Carlito" w:eastAsia="Carlito"/>
        </w:rPr>
        <w:t xml:space="preserve">положительного результата и доли всего корпуса;</w:t>
      </w:r>
    </w:p>
    <w:p>
      <w:pPr>
        <w:pStyle w:val="ListBullet"/>
        <w:widowControl/>
        <w:numPr>
          <w:ilvl w:val="0"/>
          <w:numId w:val="1029"/>
        </w:numPr>
        <w:spacing w:after="70"/>
      </w:pPr>
      <w:r>
        <w:rPr>
          <w:rFonts w:ascii="Carlito" w:hAnsi="Carlito" w:eastAsia="Carlito"/>
        </w:rPr>
        <w:t xml:space="preserve">даты и территории;</w:t>
      </w:r>
    </w:p>
    <w:p>
      <w:pPr>
        <w:pStyle w:val="ListBullet"/>
        <w:widowControl/>
        <w:numPr>
          <w:ilvl w:val="0"/>
          <w:numId w:val="1029"/>
        </w:numPr>
        <w:spacing w:after="70"/>
      </w:pPr>
      <w:r>
        <w:rPr>
          <w:rFonts w:ascii="Carlito" w:hAnsi="Carlito" w:eastAsia="Carlito"/>
        </w:rPr>
        <w:t xml:space="preserve">основного компетентного уровня;</w:t>
      </w:r>
    </w:p>
    <w:p>
      <w:pPr>
        <w:pStyle w:val="ListBullet"/>
        <w:widowControl/>
        <w:numPr>
          <w:ilvl w:val="0"/>
          <w:numId w:val="1029"/>
        </w:numPr>
        <w:spacing w:after="70"/>
      </w:pPr>
      <w:r>
        <w:rPr>
          <w:rFonts w:ascii="Carlito" w:hAnsi="Carlito" w:eastAsia="Carlito"/>
        </w:rPr>
        <w:t xml:space="preserve">маркировки правовой природы;</w:t>
      </w:r>
    </w:p>
    <w:p>
      <w:pPr>
        <w:pStyle w:val="ListBullet"/>
        <w:widowControl/>
        <w:numPr>
          <w:ilvl w:val="0"/>
          <w:numId w:val="1029"/>
        </w:numPr>
        <w:spacing w:after="70"/>
      </w:pPr>
      <w:r>
        <w:rPr>
          <w:rFonts w:ascii="Carlito" w:hAnsi="Carlito" w:eastAsia="Carlito"/>
        </w:rPr>
        <w:t xml:space="preserve">ссылки на полный сертифицированный документ.</w:t>
      </w:r>
    </w:p>
    <w:p>
      <w:pPr>
        <w:pStyle w:val="FirstParagraph"/>
        <w:widowControl/>
      </w:pPr>
      <w:r>
        <w:rPr>
          <w:rFonts w:ascii="Carlito" w:hAnsi="Carlito" w:eastAsia="Carlito"/>
        </w:rPr>
        <w:t xml:space="preserve">Интерфейс не ранжирует пункты по политической желательности и не скрывает не принятые победителем цели. Государственный орган не вправе использовать бренд или символику мандата для агитации за собственную интерпретацию.</w:t>
      </w:r>
    </w:p>
    <w:bookmarkEnd w:id="75"/>
    <w:bookmarkStart w:id="76" w:name="Xc2480b0496cf7564217c4a9dc4acda0facd548e"/>
    <w:p>
      <w:pPr>
        <w:pStyle w:val="Heading2"/>
        <w:keepNext/>
        <w:keepLines/>
        <w:widowControl/>
      </w:pPr>
      <w:r>
        <w:rPr>
          <w:rFonts w:ascii="Carlito" w:hAnsi="Carlito" w:eastAsia="Carlito"/>
        </w:rPr>
        <w:t xml:space="preserve">15. Толкование общественного мандата</w:t>
      </w:r>
    </w:p>
    <w:p>
      <w:pPr>
        <w:pStyle w:val="FirstParagraph"/>
        <w:widowControl/>
      </w:pPr>
      <w:r>
        <w:rPr>
          <w:rFonts w:ascii="Carlito" w:hAnsi="Carlito" w:eastAsia="Carlito"/>
        </w:rPr>
        <w:t xml:space="preserve">Основным источником является сертифицированный текст в контексте обязательных приложений и установленных определений. Исходное авторское намерение, экспертное заключение, дебаты и последующие заявления могут объяснять историю, но не заменяют утверждённую формулировку.</w:t>
      </w:r>
    </w:p>
    <w:p>
      <w:pPr>
        <w:keepNext/>
        <w:widowControl/>
      </w:pPr>
      <w:r>
        <w:rPr>
          <w:rFonts w:ascii="Carlito" w:hAnsi="Carlito" w:eastAsia="Carlito"/>
        </w:rPr>
        <w:t xml:space="preserve">Ни один постоянный орган не обладает монополией на политическое толкование. Допустимы:</w:t>
      </w:r>
    </w:p>
    <w:p>
      <w:pPr>
        <w:pStyle w:val="ListBullet"/>
        <w:widowControl/>
        <w:numPr>
          <w:ilvl w:val="0"/>
          <w:numId w:val="1030"/>
        </w:numPr>
        <w:spacing w:after="70"/>
      </w:pPr>
      <w:r>
        <w:rPr>
          <w:rFonts w:ascii="Carlito" w:hAnsi="Carlito" w:eastAsia="Carlito"/>
        </w:rPr>
        <w:t xml:space="preserve">техническое разъяснение идентификатора, ссылки, числа или формата без изменения смысла;</w:t>
      </w:r>
    </w:p>
    <w:p>
      <w:pPr>
        <w:pStyle w:val="ListBullet"/>
        <w:widowControl/>
        <w:numPr>
          <w:ilvl w:val="0"/>
          <w:numId w:val="1030"/>
        </w:numPr>
        <w:spacing w:after="70"/>
      </w:pPr>
      <w:r>
        <w:rPr>
          <w:rFonts w:ascii="Carlito" w:hAnsi="Carlito" w:eastAsia="Carlito"/>
        </w:rPr>
        <w:t xml:space="preserve">судебное решение о процедуре, компетенции, праве или действительности;</w:t>
      </w:r>
    </w:p>
    <w:p>
      <w:pPr>
        <w:pStyle w:val="ListBullet"/>
        <w:widowControl/>
        <w:numPr>
          <w:ilvl w:val="0"/>
          <w:numId w:val="1030"/>
        </w:numPr>
        <w:spacing w:after="70"/>
      </w:pPr>
      <w:r>
        <w:rPr>
          <w:rFonts w:ascii="Carlito" w:hAnsi="Carlito" w:eastAsia="Carlito"/>
        </w:rPr>
        <w:t xml:space="preserve">самостоятельная интерпретация кандидата в его декларации;</w:t>
      </w:r>
    </w:p>
    <w:p>
      <w:pPr>
        <w:pStyle w:val="ListBullet"/>
        <w:widowControl/>
        <w:numPr>
          <w:ilvl w:val="0"/>
          <w:numId w:val="1030"/>
        </w:numPr>
        <w:spacing w:after="70"/>
      </w:pPr>
      <w:r>
        <w:rPr>
          <w:rFonts w:ascii="Carlito" w:hAnsi="Carlito" w:eastAsia="Carlito"/>
        </w:rPr>
        <w:t xml:space="preserve">альтернативные общественные, научные и политические толкования с открытым указанием статуса.</w:t>
      </w:r>
    </w:p>
    <w:p>
      <w:pPr>
        <w:pStyle w:val="FirstParagraph"/>
        <w:widowControl/>
      </w:pPr>
      <w:r>
        <w:rPr>
          <w:rFonts w:ascii="Carlito" w:hAnsi="Carlito" w:eastAsia="Carlito"/>
        </w:rPr>
        <w:t xml:space="preserve">При неустранимой неоднозначности текст не толкуется расширительно против кандидата, парламента, региона или гражданина. Существенно различающиеся смыслы требуют новой гражданской процедуры, а не решения закрытого интерпретатора.</w:t>
      </w:r>
    </w:p>
    <w:bookmarkEnd w:id="76"/>
    <w:bookmarkStart w:id="77" w:name="X93b57b04efdef2ad84201cafaac2c3adb22e8a9"/>
    <w:p>
      <w:pPr>
        <w:pStyle w:val="Heading2"/>
        <w:keepNext/>
        <w:keepLines/>
        <w:widowControl/>
      </w:pPr>
      <w:r>
        <w:rPr>
          <w:rFonts w:ascii="Carlito" w:hAnsi="Carlito" w:eastAsia="Carlito"/>
        </w:rPr>
        <w:t xml:space="preserve">16. Техническое исправление и запрет содержательной перезаписи</w:t>
      </w:r>
    </w:p>
    <w:p>
      <w:pPr>
        <w:pStyle w:val="FirstParagraph"/>
        <w:widowControl/>
      </w:pPr>
      <w:r>
        <w:rPr>
          <w:rFonts w:ascii="Carlito" w:hAnsi="Carlito" w:eastAsia="Carlito"/>
        </w:rPr>
        <w:t xml:space="preserve">Техническим считается исправление, которое доказуемо не меняет цель, охват, адресата, срок, показатель, правовой эффект, распределение выгод и издержек либо результат голосования.</w:t>
      </w:r>
    </w:p>
    <w:p>
      <w:pPr>
        <w:keepNext/>
        <w:widowControl/>
      </w:pPr>
      <w:r>
        <w:rPr>
          <w:rFonts w:ascii="Carlito" w:hAnsi="Carlito" w:eastAsia="Carlito"/>
        </w:rPr>
        <w:t xml:space="preserve">Каждое исправление оформляется приложением, содержащим:</w:t>
      </w:r>
    </w:p>
    <w:p>
      <w:pPr>
        <w:pStyle w:val="ListBullet"/>
        <w:widowControl/>
        <w:numPr>
          <w:ilvl w:val="0"/>
          <w:numId w:val="1031"/>
        </w:numPr>
        <w:spacing w:after="70"/>
      </w:pPr>
      <w:r>
        <w:rPr>
          <w:rFonts w:ascii="Carlito" w:hAnsi="Carlito" w:eastAsia="Carlito"/>
        </w:rPr>
        <w:t xml:space="preserve">первоначальный и исправленный фрагменты;</w:t>
      </w:r>
    </w:p>
    <w:p>
      <w:pPr>
        <w:pStyle w:val="ListBullet"/>
        <w:widowControl/>
        <w:numPr>
          <w:ilvl w:val="0"/>
          <w:numId w:val="1031"/>
        </w:numPr>
        <w:spacing w:after="70"/>
      </w:pPr>
      <w:r>
        <w:rPr>
          <w:rFonts w:ascii="Carlito" w:hAnsi="Carlito" w:eastAsia="Carlito"/>
        </w:rPr>
        <w:t xml:space="preserve">основание и доказательство ошибки;</w:t>
      </w:r>
    </w:p>
    <w:p>
      <w:pPr>
        <w:pStyle w:val="ListBullet"/>
        <w:widowControl/>
        <w:numPr>
          <w:ilvl w:val="0"/>
          <w:numId w:val="1031"/>
        </w:numPr>
        <w:spacing w:after="70"/>
      </w:pPr>
      <w:r>
        <w:rPr>
          <w:rFonts w:ascii="Carlito" w:hAnsi="Carlito" w:eastAsia="Carlito"/>
        </w:rPr>
        <w:t xml:space="preserve">лицо и орган, принявшие решение;</w:t>
      </w:r>
    </w:p>
    <w:p>
      <w:pPr>
        <w:pStyle w:val="ListBullet"/>
        <w:widowControl/>
        <w:numPr>
          <w:ilvl w:val="0"/>
          <w:numId w:val="1031"/>
        </w:numPr>
        <w:spacing w:after="70"/>
      </w:pPr>
      <w:r>
        <w:rPr>
          <w:rFonts w:ascii="Carlito" w:hAnsi="Carlito" w:eastAsia="Carlito"/>
        </w:rPr>
        <w:t xml:space="preserve">дату и время;</w:t>
      </w:r>
    </w:p>
    <w:p>
      <w:pPr>
        <w:pStyle w:val="ListBullet"/>
        <w:widowControl/>
        <w:numPr>
          <w:ilvl w:val="0"/>
          <w:numId w:val="1031"/>
        </w:numPr>
        <w:spacing w:after="70"/>
      </w:pPr>
      <w:r>
        <w:rPr>
          <w:rFonts w:ascii="Carlito" w:hAnsi="Carlito" w:eastAsia="Carlito"/>
        </w:rPr>
        <w:t xml:space="preserve">оценку влияния на понимание и результат;</w:t>
      </w:r>
    </w:p>
    <w:p>
      <w:pPr>
        <w:pStyle w:val="ListBullet"/>
        <w:widowControl/>
        <w:numPr>
          <w:ilvl w:val="0"/>
          <w:numId w:val="1031"/>
        </w:numPr>
        <w:spacing w:after="70"/>
      </w:pPr>
      <w:r>
        <w:rPr>
          <w:rFonts w:ascii="Carlito" w:hAnsi="Carlito" w:eastAsia="Carlito"/>
        </w:rPr>
        <w:t xml:space="preserve">срок и путь обжалования;</w:t>
      </w:r>
    </w:p>
    <w:p>
      <w:pPr>
        <w:pStyle w:val="ListBullet"/>
        <w:widowControl/>
        <w:numPr>
          <w:ilvl w:val="0"/>
          <w:numId w:val="1031"/>
        </w:numPr>
        <w:spacing w:after="70"/>
      </w:pPr>
      <w:r>
        <w:rPr>
          <w:rFonts w:ascii="Carlito" w:hAnsi="Carlito" w:eastAsia="Carlito"/>
        </w:rPr>
        <w:t xml:space="preserve">контрольные признаки обеих версий.</w:t>
      </w:r>
    </w:p>
    <w:p>
      <w:pPr>
        <w:pStyle w:val="FirstParagraph"/>
        <w:widowControl/>
      </w:pPr>
      <w:r>
        <w:rPr>
          <w:rFonts w:ascii="Carlito" w:hAnsi="Carlito" w:eastAsia="Carlito"/>
        </w:rPr>
        <w:t xml:space="preserve">Содержательное изменение мандата после сертификации невозможно редакционным актом. Оно требует новой процедуры общественного утверждения либо отдельного компетентного правового акта, который не переписывает исторический мандат.</w:t>
      </w:r>
    </w:p>
    <w:bookmarkEnd w:id="77"/>
    <w:bookmarkStart w:id="78" w:name="Xe5140fab5500aeaffc1893e47277aebdc658b59"/>
    <w:p>
      <w:pPr>
        <w:pStyle w:val="Heading2"/>
        <w:keepNext/>
        <w:keepLines/>
        <w:widowControl/>
      </w:pPr>
      <w:r>
        <w:rPr>
          <w:rFonts w:ascii="Carlito" w:hAnsi="Carlito" w:eastAsia="Carlito"/>
        </w:rPr>
        <w:t xml:space="preserve">17. Судебное признание дефекта или недействительности</w:t>
      </w:r>
    </w:p>
    <w:p>
      <w:pPr>
        <w:pStyle w:val="FirstParagraph"/>
        <w:widowControl/>
      </w:pPr>
      <w:r>
        <w:rPr>
          <w:rFonts w:ascii="Carlito" w:hAnsi="Carlito" w:eastAsia="Carlito"/>
        </w:rPr>
        <w:t xml:space="preserve">Судебное решение не удаляет первоначальный документ. К нему добавляется неизменяемая запись о признанном дефекте, затронутом объёме, последствиях, повторном голосовании или прекращении процессуального эффекта.</w:t>
      </w:r>
    </w:p>
    <w:p>
      <w:pPr>
        <w:widowControl/>
      </w:pPr>
      <w:r>
        <w:rPr>
          <w:rFonts w:ascii="Carlito" w:hAnsi="Carlito" w:eastAsia="Carlito"/>
        </w:rPr>
        <w:t xml:space="preserve">Если недействителен отдельный пункт, остальные сохраняются. Если выявлен общий системный дефект, в реестре ясно указывается, какие части результата утратили действительность и почему. История до решения остаётся доступной как доказательство, но не представляется действующим мандатом.</w:t>
      </w:r>
    </w:p>
    <w:bookmarkEnd w:id="78"/>
    <w:bookmarkStart w:id="79" w:name="Xcea9b4139df558ee35ab19db431ed2c07b27f96"/>
    <w:p>
      <w:pPr>
        <w:pStyle w:val="Heading2"/>
        <w:keepNext/>
        <w:keepLines/>
        <w:widowControl/>
      </w:pPr>
      <w:r>
        <w:rPr>
          <w:rFonts w:ascii="Carlito" w:hAnsi="Carlito" w:eastAsia="Carlito"/>
        </w:rPr>
        <w:t xml:space="preserve">18. Конфликт с Конституцией, законом и компетенцией</w:t>
      </w:r>
    </w:p>
    <w:p>
      <w:pPr>
        <w:pStyle w:val="FirstParagraph"/>
        <w:widowControl/>
      </w:pPr>
      <w:r>
        <w:rPr>
          <w:rFonts w:ascii="Carlito" w:hAnsi="Carlito" w:eastAsia="Carlito"/>
        </w:rPr>
        <w:t xml:space="preserve">Конституция, основные права, международные обязательства и акты компетентных органов имеют юридическую силу в соответствии с национальной иерархией. Общественный мандат не отменяет их и не создаёт обходной путь.</w:t>
      </w:r>
    </w:p>
    <w:p>
      <w:pPr>
        <w:keepNext/>
        <w:widowControl/>
      </w:pPr>
      <w:r>
        <w:rPr>
          <w:rFonts w:ascii="Carlito" w:hAnsi="Carlito" w:eastAsia="Carlito"/>
        </w:rPr>
        <w:t xml:space="preserve">При конфликте мандат сохраняет следующие последствия:</w:t>
      </w:r>
    </w:p>
    <w:p>
      <w:pPr>
        <w:pStyle w:val="ListBullet"/>
        <w:widowControl/>
        <w:numPr>
          <w:ilvl w:val="0"/>
          <w:numId w:val="1032"/>
        </w:numPr>
        <w:spacing w:after="70"/>
      </w:pPr>
      <w:r>
        <w:rPr>
          <w:rFonts w:ascii="Carlito" w:hAnsi="Carlito" w:eastAsia="Carlito"/>
        </w:rPr>
        <w:t xml:space="preserve">кандидат раскрывает позицию и допустимый путь законного изменения;</w:t>
      </w:r>
    </w:p>
    <w:p>
      <w:pPr>
        <w:pStyle w:val="ListBullet"/>
        <w:widowControl/>
        <w:numPr>
          <w:ilvl w:val="0"/>
          <w:numId w:val="1032"/>
        </w:numPr>
        <w:spacing w:after="70"/>
      </w:pPr>
      <w:r>
        <w:rPr>
          <w:rFonts w:ascii="Carlito" w:hAnsi="Carlito" w:eastAsia="Carlito"/>
        </w:rPr>
        <w:t xml:space="preserve">компетентный орган рассматривает предложение в предусмотренной форме;</w:t>
      </w:r>
    </w:p>
    <w:p>
      <w:pPr>
        <w:pStyle w:val="ListBullet"/>
        <w:widowControl/>
        <w:numPr>
          <w:ilvl w:val="0"/>
          <w:numId w:val="1032"/>
        </w:numPr>
        <w:spacing w:after="70"/>
      </w:pPr>
      <w:r>
        <w:rPr>
          <w:rFonts w:ascii="Carlito" w:hAnsi="Carlito" w:eastAsia="Carlito"/>
        </w:rPr>
        <w:t xml:space="preserve">публикуется правовое основание невозможности или необходимой конституционной процедуры;</w:t>
      </w:r>
    </w:p>
    <w:p>
      <w:pPr>
        <w:pStyle w:val="ListBullet"/>
        <w:widowControl/>
        <w:numPr>
          <w:ilvl w:val="0"/>
          <w:numId w:val="1032"/>
        </w:numPr>
        <w:spacing w:after="70"/>
      </w:pPr>
      <w:r>
        <w:rPr>
          <w:rFonts w:ascii="Carlito" w:hAnsi="Carlito" w:eastAsia="Carlito"/>
        </w:rPr>
        <w:t xml:space="preserve">сохраняется общественная и политическая оценка решения;</w:t>
      </w:r>
    </w:p>
    <w:p>
      <w:pPr>
        <w:pStyle w:val="ListBullet"/>
        <w:widowControl/>
        <w:numPr>
          <w:ilvl w:val="0"/>
          <w:numId w:val="1032"/>
        </w:numPr>
        <w:spacing w:after="70"/>
      </w:pPr>
      <w:r>
        <w:rPr>
          <w:rFonts w:ascii="Carlito" w:hAnsi="Carlito" w:eastAsia="Carlito"/>
        </w:rPr>
        <w:t xml:space="preserve">материальное действие не совершается без надлежащего акта.</w:t>
      </w:r>
    </w:p>
    <w:p>
      <w:pPr>
        <w:pStyle w:val="FirstParagraph"/>
        <w:widowControl/>
      </w:pPr>
      <w:r>
        <w:rPr>
          <w:rFonts w:ascii="Carlito" w:hAnsi="Carlito" w:eastAsia="Carlito"/>
        </w:rPr>
        <w:t xml:space="preserve">Ссылка на мандат не оправдывает нарушение права. Ссылка на действующее право не оправдывает бесследное игнорирование гражданской цели: орган обязан объяснить границу и доступный законный маршрут.</w:t>
      </w:r>
    </w:p>
    <w:bookmarkEnd w:id="79"/>
    <w:bookmarkStart w:id="80" w:name="Xf64e7ac3aa263a7c5a602c9356f0e15549f094a"/>
    <w:p>
      <w:pPr>
        <w:pStyle w:val="Heading2"/>
        <w:keepNext/>
        <w:keepLines/>
        <w:widowControl/>
      </w:pPr>
      <w:r>
        <w:rPr>
          <w:rFonts w:ascii="Carlito" w:hAnsi="Carlito" w:eastAsia="Carlito"/>
        </w:rPr>
        <w:t xml:space="preserve">19. Конфликт между утверждёнными пунктами</w:t>
      </w:r>
    </w:p>
    <w:p>
      <w:pPr>
        <w:pStyle w:val="FirstParagraph"/>
        <w:widowControl/>
      </w:pPr>
      <w:r>
        <w:rPr>
          <w:rFonts w:ascii="Carlito" w:hAnsi="Carlito" w:eastAsia="Carlito"/>
        </w:rPr>
        <w:t xml:space="preserve">Мандат может содержать конкурирующие цели. Он не создаёт скрытой совокупной иерархии и не передаёт органу право объявить один пункт менее общественным.</w:t>
      </w:r>
    </w:p>
    <w:p>
      <w:pPr>
        <w:keepNext/>
        <w:widowControl/>
      </w:pPr>
      <w:r>
        <w:rPr>
          <w:rFonts w:ascii="Carlito" w:hAnsi="Carlito" w:eastAsia="Carlito"/>
        </w:rPr>
        <w:t xml:space="preserve">Конфликт разрешается в последующих компетентных процедурах с обязательным раскрытием:</w:t>
      </w:r>
    </w:p>
    <w:p>
      <w:pPr>
        <w:pStyle w:val="ListBullet"/>
        <w:widowControl/>
        <w:numPr>
          <w:ilvl w:val="0"/>
          <w:numId w:val="1033"/>
        </w:numPr>
        <w:spacing w:after="70"/>
      </w:pPr>
      <w:r>
        <w:rPr>
          <w:rFonts w:ascii="Carlito" w:hAnsi="Carlito" w:eastAsia="Carlito"/>
        </w:rPr>
        <w:t xml:space="preserve">характера несовместимости;</w:t>
      </w:r>
    </w:p>
    <w:p>
      <w:pPr>
        <w:pStyle w:val="ListBullet"/>
        <w:widowControl/>
        <w:numPr>
          <w:ilvl w:val="0"/>
          <w:numId w:val="1033"/>
        </w:numPr>
        <w:spacing w:after="70"/>
      </w:pPr>
      <w:r>
        <w:rPr>
          <w:rFonts w:ascii="Carlito" w:hAnsi="Carlito" w:eastAsia="Carlito"/>
        </w:rPr>
        <w:t xml:space="preserve">доступных вариантов и последовательности;</w:t>
      </w:r>
    </w:p>
    <w:p>
      <w:pPr>
        <w:pStyle w:val="ListBullet"/>
        <w:widowControl/>
        <w:numPr>
          <w:ilvl w:val="0"/>
          <w:numId w:val="1033"/>
        </w:numPr>
        <w:spacing w:after="70"/>
      </w:pPr>
      <w:r>
        <w:rPr>
          <w:rFonts w:ascii="Carlito" w:hAnsi="Carlito" w:eastAsia="Carlito"/>
        </w:rPr>
        <w:t xml:space="preserve">стоимости отказа от каждого варианта;</w:t>
      </w:r>
    </w:p>
    <w:p>
      <w:pPr>
        <w:pStyle w:val="ListBullet"/>
        <w:widowControl/>
        <w:numPr>
          <w:ilvl w:val="0"/>
          <w:numId w:val="1033"/>
        </w:numPr>
        <w:spacing w:after="70"/>
      </w:pPr>
      <w:r>
        <w:rPr>
          <w:rFonts w:ascii="Carlito" w:hAnsi="Carlito" w:eastAsia="Carlito"/>
        </w:rPr>
        <w:t xml:space="preserve">позиции кандидата и позднее избранной власти;</w:t>
      </w:r>
    </w:p>
    <w:p>
      <w:pPr>
        <w:pStyle w:val="ListBullet"/>
        <w:widowControl/>
        <w:numPr>
          <w:ilvl w:val="0"/>
          <w:numId w:val="1033"/>
        </w:numPr>
        <w:spacing w:after="70"/>
      </w:pPr>
      <w:r>
        <w:rPr>
          <w:rFonts w:ascii="Carlito" w:hAnsi="Carlito" w:eastAsia="Carlito"/>
        </w:rPr>
        <w:t xml:space="preserve">решения парламента или иного компетентного органа;</w:t>
      </w:r>
    </w:p>
    <w:p>
      <w:pPr>
        <w:pStyle w:val="ListBullet"/>
        <w:widowControl/>
        <w:numPr>
          <w:ilvl w:val="0"/>
          <w:numId w:val="1033"/>
        </w:numPr>
        <w:spacing w:after="70"/>
      </w:pPr>
      <w:r>
        <w:rPr>
          <w:rFonts w:ascii="Carlito" w:hAnsi="Carlito" w:eastAsia="Carlito"/>
        </w:rPr>
        <w:t xml:space="preserve">последствий для результата и затрагиваемых групп.</w:t>
      </w:r>
    </w:p>
    <w:p>
      <w:pPr>
        <w:pStyle w:val="FirstParagraph"/>
        <w:widowControl/>
      </w:pPr>
      <w:r>
        <w:rPr>
          <w:rFonts w:ascii="Carlito" w:hAnsi="Carlito" w:eastAsia="Carlito"/>
        </w:rPr>
        <w:t xml:space="preserve">Приоритет прав и законности не является политическим ранжированием: пункт, противоречащий неотчуждаемому праву, не реализуется в запрещённой форме, но общественная проблема может получить минимально ограничивающую допустимую редакцию через установленный новый процесс.</w:t>
      </w:r>
    </w:p>
    <w:bookmarkEnd w:id="80"/>
    <w:bookmarkStart w:id="81" w:name="X6809ba9ff8d952e783ea69427d5a13698509398"/>
    <w:p>
      <w:pPr>
        <w:pStyle w:val="Heading2"/>
        <w:keepNext/>
        <w:keepLines/>
        <w:widowControl/>
      </w:pPr>
      <w:r>
        <w:rPr>
          <w:rFonts w:ascii="Carlito" w:hAnsi="Carlito" w:eastAsia="Carlito"/>
        </w:rPr>
        <w:t xml:space="preserve">20. Защита данных и публикация агрегатов</w:t>
      </w:r>
    </w:p>
    <w:p>
      <w:pPr>
        <w:pStyle w:val="FirstParagraph"/>
        <w:widowControl/>
      </w:pPr>
      <w:r>
        <w:rPr>
          <w:rFonts w:ascii="Carlito" w:hAnsi="Carlito" w:eastAsia="Carlito"/>
        </w:rPr>
        <w:t xml:space="preserve">Общественный мандат не содержит списков голосовавших, поддержавших инициативу, жалобщиков, участников обсуждения или малых доноров. Публикуются агрегаты, достаточные для проверки представительности и аномалий, с порогами минимального размера и защитой от обратной идентификации.</w:t>
      </w:r>
    </w:p>
    <w:p>
      <w:pPr>
        <w:widowControl/>
      </w:pPr>
      <w:r>
        <w:rPr>
          <w:rFonts w:ascii="Carlito" w:hAnsi="Carlito" w:eastAsia="Carlito"/>
        </w:rPr>
        <w:t xml:space="preserve">Запрещается соединять данные мандата с налоговыми, трудовыми, социальными, правоохранительными, рекламными или аналитическими профилями. Исследовательский доступ предоставляется только к минимизированным данным по модели, исключающей восстановление индивидуальной истории.</w:t>
      </w:r>
    </w:p>
    <w:bookmarkEnd w:id="81"/>
    <w:bookmarkStart w:id="82" w:name="Xa523e7657a1240412b2c189076ab917c4c61c09"/>
    <w:p>
      <w:pPr>
        <w:pStyle w:val="Heading2"/>
        <w:keepNext/>
        <w:keepLines/>
        <w:widowControl/>
      </w:pPr>
      <w:r>
        <w:rPr>
          <w:rFonts w:ascii="Carlito" w:hAnsi="Carlito" w:eastAsia="Carlito"/>
        </w:rPr>
        <w:t xml:space="preserve">21. Контроль, обжалование и ответственность</w:t>
      </w:r>
    </w:p>
    <w:p>
      <w:pPr>
        <w:pStyle w:val="FirstParagraph"/>
        <w:keepNext/>
        <w:widowControl/>
      </w:pPr>
      <w:r>
        <w:rPr>
          <w:rFonts w:ascii="Carlito" w:hAnsi="Carlito" w:eastAsia="Carlito"/>
        </w:rPr>
        <w:t xml:space="preserve">Обжалуются:</w:t>
      </w:r>
    </w:p>
    <w:p>
      <w:pPr>
        <w:pStyle w:val="ListBullet"/>
        <w:widowControl/>
        <w:numPr>
          <w:ilvl w:val="0"/>
          <w:numId w:val="1034"/>
        </w:numPr>
        <w:spacing w:after="70"/>
      </w:pPr>
      <w:r>
        <w:rPr>
          <w:rFonts w:ascii="Carlito" w:hAnsi="Carlito" w:eastAsia="Carlito"/>
        </w:rPr>
        <w:t xml:space="preserve">искажение или неполная публикация сертифицированного текста;</w:t>
      </w:r>
    </w:p>
    <w:p>
      <w:pPr>
        <w:pStyle w:val="ListBullet"/>
        <w:widowControl/>
        <w:numPr>
          <w:ilvl w:val="0"/>
          <w:numId w:val="1034"/>
        </w:numPr>
        <w:spacing w:after="70"/>
      </w:pPr>
      <w:r>
        <w:rPr>
          <w:rFonts w:ascii="Carlito" w:hAnsi="Carlito" w:eastAsia="Carlito"/>
        </w:rPr>
        <w:t xml:space="preserve">незаконное изменение ядра или приложений;</w:t>
      </w:r>
    </w:p>
    <w:p>
      <w:pPr>
        <w:pStyle w:val="ListBullet"/>
        <w:widowControl/>
        <w:numPr>
          <w:ilvl w:val="0"/>
          <w:numId w:val="1034"/>
        </w:numPr>
        <w:spacing w:after="70"/>
      </w:pPr>
      <w:r>
        <w:rPr>
          <w:rFonts w:ascii="Carlito" w:hAnsi="Carlito" w:eastAsia="Carlito"/>
        </w:rPr>
        <w:t xml:space="preserve">отказ предоставить доступную версию;</w:t>
      </w:r>
    </w:p>
    <w:p>
      <w:pPr>
        <w:pStyle w:val="ListBullet"/>
        <w:widowControl/>
        <w:numPr>
          <w:ilvl w:val="0"/>
          <w:numId w:val="1034"/>
        </w:numPr>
        <w:spacing w:after="70"/>
      </w:pPr>
      <w:r>
        <w:rPr>
          <w:rFonts w:ascii="Carlito" w:hAnsi="Carlito" w:eastAsia="Carlito"/>
        </w:rPr>
        <w:t xml:space="preserve">неправильная связь с декларацией, планом или оценкой;</w:t>
      </w:r>
    </w:p>
    <w:p>
      <w:pPr>
        <w:pStyle w:val="ListBullet"/>
        <w:widowControl/>
        <w:numPr>
          <w:ilvl w:val="0"/>
          <w:numId w:val="1034"/>
        </w:numPr>
        <w:spacing w:after="70"/>
      </w:pPr>
      <w:r>
        <w:rPr>
          <w:rFonts w:ascii="Carlito" w:hAnsi="Carlito" w:eastAsia="Carlito"/>
        </w:rPr>
        <w:t xml:space="preserve">удаление, сокрытие или подмена архивной версии;</w:t>
      </w:r>
    </w:p>
    <w:p>
      <w:pPr>
        <w:pStyle w:val="ListBullet"/>
        <w:widowControl/>
        <w:numPr>
          <w:ilvl w:val="0"/>
          <w:numId w:val="1034"/>
        </w:numPr>
        <w:spacing w:after="70"/>
      </w:pPr>
      <w:r>
        <w:rPr>
          <w:rFonts w:ascii="Carlito" w:hAnsi="Carlito" w:eastAsia="Carlito"/>
        </w:rPr>
        <w:t xml:space="preserve">повторная идентификация либо использование политических данных;</w:t>
      </w:r>
    </w:p>
    <w:p>
      <w:pPr>
        <w:pStyle w:val="ListBullet"/>
        <w:widowControl/>
        <w:numPr>
          <w:ilvl w:val="0"/>
          <w:numId w:val="1034"/>
        </w:numPr>
        <w:spacing w:after="70"/>
      </w:pPr>
      <w:r>
        <w:rPr>
          <w:rFonts w:ascii="Carlito" w:hAnsi="Carlito" w:eastAsia="Carlito"/>
        </w:rPr>
        <w:t xml:space="preserve">официальное приписывание мандату несуществующей юридической силы.</w:t>
      </w:r>
    </w:p>
    <w:p>
      <w:pPr>
        <w:pStyle w:val="FirstParagraph"/>
        <w:widowControl/>
      </w:pPr>
      <w:r>
        <w:rPr>
          <w:rFonts w:ascii="Carlito" w:hAnsi="Carlito" w:eastAsia="Carlito"/>
        </w:rPr>
        <w:t xml:space="preserve">Ответственность несут конкретные лица и организации, совершившие действие: сертифицирующий орган — за незаконный отказ или искажение; архив — за утрату и перезапись; оператор — за нарушение разделения и целостности; должностное лицо — за ложное официальное представление; подрядчик — за скрытый доступ и зависимость.</w:t>
      </w:r>
    </w:p>
    <w:bookmarkEnd w:id="82"/>
    <w:bookmarkStart w:id="83" w:name="X95af5d3c4077f87c86089f5b728db15cbb81289"/>
    <w:p>
      <w:pPr>
        <w:pStyle w:val="Heading2"/>
        <w:keepNext/>
        <w:keepLines/>
        <w:widowControl/>
      </w:pPr>
      <w:r>
        <w:rPr>
          <w:rFonts w:ascii="Carlito" w:hAnsi="Carlito" w:eastAsia="Carlito"/>
        </w:rPr>
        <w:t xml:space="preserve">22. Чрезвычайные и переходные случаи</w:t>
      </w:r>
    </w:p>
    <w:p>
      <w:pPr>
        <w:pStyle w:val="FirstParagraph"/>
        <w:widowControl/>
      </w:pPr>
      <w:r>
        <w:rPr>
          <w:rFonts w:ascii="Carlito" w:hAnsi="Carlito" w:eastAsia="Carlito"/>
        </w:rPr>
        <w:t xml:space="preserve">Чрезвычайное положение не позволяет переписать уже сертифицированный мандат, связать политические данные или устранить всю офлайн-доступность. Допускаются временные изменения доступа к реестру и каналов передачи при сохранении независимых копий, конечного срока и последующего аудита.</w:t>
      </w:r>
    </w:p>
    <w:p>
      <w:pPr>
        <w:widowControl/>
      </w:pPr>
      <w:r>
        <w:rPr>
          <w:rFonts w:ascii="Carlito" w:hAnsi="Carlito" w:eastAsia="Carlito"/>
        </w:rPr>
        <w:t xml:space="preserve">При распаде, объединении или реорганизации органа обязанности по хранению и публикации переходят правопреемнику автоматически. Смена подрядчика, платформы или формата не создаёт новой версии содержания.</w:t>
      </w:r>
    </w:p>
    <w:p>
      <w:pPr>
        <w:widowControl/>
      </w:pPr>
      <w:r>
        <w:rPr>
          <w:rFonts w:ascii="Carlito" w:hAnsi="Carlito" w:eastAsia="Carlito"/>
        </w:rPr>
        <w:t xml:space="preserve">При изменении границ или состава корпуса исторический документ сохраняет параметры на дату голосования. Новая территория или уровень формирует собственный мандат только через новый цикл.</w:t>
      </w:r>
    </w:p>
    <w:bookmarkEnd w:id="83"/>
    <w:bookmarkStart w:id="89" w:name="X329e289259d16d390ea3ab3139d352a029e012e"/>
    <w:p>
      <w:pPr>
        <w:pStyle w:val="Heading2"/>
        <w:keepNext/>
        <w:keepLines/>
        <w:widowControl/>
      </w:pPr>
      <w:r>
        <w:rPr>
          <w:rFonts w:ascii="Carlito" w:hAnsi="Carlito" w:eastAsia="Carlito"/>
        </w:rPr>
        <w:t xml:space="preserve">23. Наиболее сильные возражения и встроенные ответы</w:t>
      </w:r>
    </w:p>
    <w:bookmarkStart w:id="84" w:name="X18531f3274c3a8248f019848b9a0f3b843ac955"/>
    <w:p>
      <w:pPr>
        <w:pStyle w:val="Heading3"/>
        <w:keepNext/>
        <w:keepLines/>
        <w:widowControl/>
      </w:pPr>
      <w:r>
        <w:rPr>
          <w:rFonts w:ascii="Carlito" w:hAnsi="Carlito" w:eastAsia="Carlito"/>
        </w:rPr>
        <w:t xml:space="preserve">23.1. «Официальный документ неизбежно станет параллельным законом»</w:t>
      </w:r>
    </w:p>
    <w:p>
      <w:pPr>
        <w:pStyle w:val="FirstParagraph"/>
        <w:widowControl/>
      </w:pPr>
      <w:r>
        <w:rPr>
          <w:rFonts w:ascii="Carlito" w:hAnsi="Carlito" w:eastAsia="Carlito"/>
        </w:rPr>
        <w:t xml:space="preserve">Слово «мандат», государственная сертификация и символика способны создать такое восприятие.</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Правовые пределы входят в титул и каждую карточку; прямое действие исключено; компетентный акт хранится отдельно; суд защищает целостность, но не превращает цель в норму.</w:t>
      </w:r>
    </w:p>
    <w:bookmarkEnd w:id="84"/>
    <w:bookmarkStart w:id="85" w:name="X71eac2b80f522011c4e82e1bb63d46a37300faa"/>
    <w:p>
      <w:pPr>
        <w:pStyle w:val="Heading3"/>
        <w:keepNext/>
        <w:keepLines/>
        <w:widowControl/>
      </w:pPr>
      <w:r>
        <w:rPr>
          <w:rFonts w:ascii="Carlito" w:hAnsi="Carlito" w:eastAsia="Carlito"/>
        </w:rPr>
        <w:t xml:space="preserve">23.2. «Если ядро неизменно, государство не сможет адаптироваться»</w:t>
      </w:r>
    </w:p>
    <w:p>
      <w:pPr>
        <w:pStyle w:val="FirstParagraph"/>
        <w:widowControl/>
      </w:pPr>
      <w:r>
        <w:rPr>
          <w:rFonts w:ascii="Carlito" w:hAnsi="Carlito" w:eastAsia="Carlito"/>
        </w:rPr>
        <w:t xml:space="preserve">Новые обстоятельства требуют изменения курса.</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Неизменной остаётся историческая запись гражданского решения, а не управленческий способ. Избранная власть вправе изменить способ и даже отказаться от курса в установленной процедуре мотивировки, не переписывая, что было принято до выборов.</w:t>
      </w:r>
    </w:p>
    <w:bookmarkEnd w:id="85"/>
    <w:bookmarkStart w:id="86" w:name="Xe0f46f06dec65f1232f5f40f0cbc5c2b43b088d"/>
    <w:p>
      <w:pPr>
        <w:pStyle w:val="Heading3"/>
        <w:keepNext/>
        <w:keepLines/>
        <w:widowControl/>
      </w:pPr>
      <w:r>
        <w:rPr>
          <w:rFonts w:ascii="Carlito" w:hAnsi="Carlito" w:eastAsia="Carlito"/>
        </w:rPr>
        <w:t xml:space="preserve">23.3. «Если документ можно только объяснять, обязательность символична»</w:t>
      </w:r>
    </w:p>
    <w:p>
      <w:pPr>
        <w:pStyle w:val="FirstParagraph"/>
        <w:widowControl/>
      </w:pPr>
      <w:r>
        <w:rPr>
          <w:rFonts w:ascii="Carlito" w:hAnsi="Carlito" w:eastAsia="Carlito"/>
        </w:rPr>
        <w:t xml:space="preserve">Официальное хранение само по себе не гарантирует действия.</w:t>
      </w:r>
    </w:p>
    <w:p>
      <w:pPr>
        <w:widowControl/>
      </w:pPr>
      <w:r>
        <w:rPr>
          <w:rFonts w:ascii="Carlito" w:hAnsi="Carlito" w:eastAsia="Carlito"/>
          <w:b/>
          <w:bCs/>
        </w:rPr>
        <w:t>Встроенный ответ. Мандат автоматически запускает декларации, предел отказа, реестр подотчётной реализации, план, данные и мониторинг. Юридически защищается конкретное выполнение этих обязанностей. Материальный результат остаётся предметом политической ответственности и обычных правовых актов.</w:t>
      </w:r>
      <w:r>
        <w:rPr>
          <w:rFonts w:ascii="Carlito" w:hAnsi="Carlito" w:eastAsia="Carlito"/>
        </w:rPr>
      </w:r>
      <w:r>
        <w:rPr>
          <w:rFonts w:ascii="Carlito" w:hAnsi="Carlito" w:eastAsia="Carlito"/>
        </w:rPr>
      </w:r>
    </w:p>
    <w:bookmarkEnd w:id="86"/>
    <w:bookmarkStart w:id="87" w:name="X90118efc91a94a86cf66d52704049e10b039cb5"/>
    <w:p>
      <w:pPr>
        <w:pStyle w:val="Heading3"/>
        <w:keepNext/>
        <w:keepLines/>
        <w:widowControl/>
      </w:pPr>
      <w:r>
        <w:rPr>
          <w:rFonts w:ascii="Carlito" w:hAnsi="Carlito" w:eastAsia="Carlito"/>
        </w:rPr>
        <w:t xml:space="preserve">23.4. «Мандат будет использоваться как оружие против несогласных»</w:t>
      </w:r>
    </w:p>
    <w:p>
      <w:pPr>
        <w:pStyle w:val="FirstParagraph"/>
        <w:widowControl/>
      </w:pPr>
      <w:r>
        <w:rPr>
          <w:rFonts w:ascii="Carlito" w:hAnsi="Carlito" w:eastAsia="Carlito"/>
        </w:rPr>
        <w:t xml:space="preserve">Власть может объявить отказ кандидата или парламента неподчинением народу.</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Документ сохраняет несогласие, компетенцию и право отказа; не содержит официального рейтинга; запрещено представлять его как индивидуальную инструкцию. Риск политической риторики остаётся остаточным.</w:t>
      </w:r>
    </w:p>
    <w:bookmarkEnd w:id="87"/>
    <w:bookmarkStart w:id="88" w:name="Xa72d4cffddb96adf7aabeafc9cba128581de61e"/>
    <w:p>
      <w:pPr>
        <w:pStyle w:val="Heading3"/>
        <w:keepNext/>
        <w:keepLines/>
        <w:widowControl/>
      </w:pPr>
      <w:r>
        <w:rPr>
          <w:rFonts w:ascii="Carlito" w:hAnsi="Carlito" w:eastAsia="Carlito"/>
        </w:rPr>
        <w:t xml:space="preserve">23.5. «Публичный реестр станет политическим профилем»</w:t>
      </w:r>
    </w:p>
    <w:p>
      <w:pPr>
        <w:pStyle w:val="FirstParagraph"/>
        <w:widowControl/>
      </w:pPr>
      <w:r>
        <w:rPr>
          <w:rFonts w:ascii="Carlito" w:hAnsi="Carlito" w:eastAsia="Carlito"/>
        </w:rPr>
        <w:t xml:space="preserve">Прослеживаемость цикла способна раскрыть авторов и сторонников.</w:t>
      </w:r>
    </w:p>
    <w:p>
      <w:pPr>
        <w:widowControl/>
      </w:pPr>
      <w:r>
        <w:rPr>
          <w:rFonts w:ascii="Carlito" w:hAnsi="Carlito" w:eastAsia="Carlito"/>
          <w:b/>
          <w:bCs/>
        </w:rPr>
        <w:t xml:space="preserve">Встроенный ответ.</w:t>
      </w:r>
      <w:r>
        <w:rPr>
          <w:rFonts w:ascii="Carlito" w:hAnsi="Carlito" w:eastAsia="Carlito"/>
        </w:rPr>
        <w:t xml:space="preserve"> </w:t>
      </w:r>
      <w:r>
        <w:rPr>
          <w:rFonts w:ascii="Carlito" w:hAnsi="Carlito" w:eastAsia="Carlito"/>
        </w:rPr>
        <w:t xml:space="preserve">Реестр содержит документы и агрегаты, а не историю действий лиц; идентификационные и политические контуры разделены; малые группы защищаются от обратной идентификации; незаконное связывание влечёт ответственность.</w:t>
      </w:r>
    </w:p>
    <w:bookmarkEnd w:id="88"/>
    <w:bookmarkEnd w:id="89"/>
    <w:bookmarkStart w:id="90" w:name="X14d5139ef992834e8daeaea65a3cb1918d8f488"/>
    <w:p>
      <w:pPr>
        <w:widowControl/>
      </w:pPr>
      <w:r>
        <w:t>Официальное исправление касается только текста, результата, статуса и источника документа. Государственный орган не исправляет политические интерпретации, метафоры, прогнозы или выводы о значении мандата.</w:t>
      </w:r>
    </w:p>
    <w:p>
      <w:pPr>
        <w:pStyle w:val="Heading2"/>
        <w:keepNext/>
        <w:keepLines/>
        <w:widowControl/>
      </w:pPr>
      <w:r>
        <w:rPr>
          <w:rFonts w:ascii="Carlito" w:hAnsi="Carlito" w:eastAsia="Carlito"/>
        </w:rPr>
        <w:t xml:space="preserve">24. Связь с другими главами и вывод</w:t>
      </w:r>
    </w:p>
    <w:p>
      <w:pPr>
        <w:pStyle w:val="FirstParagraph"/>
        <w:widowControl/>
      </w:pPr>
      <w:r>
        <w:rPr>
          <w:rFonts w:ascii="Carlito" w:hAnsi="Carlito" w:eastAsia="Carlito"/>
        </w:rPr>
        <w:t xml:space="preserve">Глава XVIII определяет, какие пункты входят в мандат. Глава XX регулирует самостоятельную декларацию кандидата, которая не становится частью мандата. Глава XXIII связывает только принятые победителем позиции с реестром реализации. Главы XXV–XXX сохраняют исходный текст при мониторинге, изменении и оценке. Главы XXXVI–XXXVII обеспечивают техническую целостность и политическую несвязываемость.</w:t>
      </w:r>
    </w:p>
    <w:p>
      <w:pPr>
        <w:pStyle w:val="DoctrineQuote"/>
        <w:widowControl/>
      </w:pPr>
      <w:r>
        <w:rPr>
          <w:rFonts w:ascii="Carlito" w:hAnsi="Carlito" w:eastAsia="Carlito"/>
          <w:bCs/>
          <w:i/>
        </w:rPr>
        <w:t xml:space="preserve">Общественный мандат является неизменяемой официальной памятью гражданского решения и юридическим триггером подотчётности, но не тайным законом. Его сила — в точности, обязательной связи стадий и невозможности бесследного игнорирования, а не в присвоении чужих конституционных полномочий.</w:t>
      </w:r>
    </w:p>
    <w:bookmarkEnd w:id="90"/>
    <w:bookmarkEnd w:id="91"/>
    <w:bookmarkStart w:id="96" w:name="X84247aa242a565d6ef8f1bfbedf3e9116216755"/>
    <w:p>
      <w:pPr>
        <w:pStyle w:val="Heading1"/>
        <w:keepNext/>
        <w:keepLines/>
        <w:pageBreakBefore/>
        <w:spacing w:before="0" w:after="160"/>
        <w:widowControl/>
        <w:pBdr>
          <w:bottom w:val="single" w:sz="5" w:space="4" w:color="B4C6E7"/>
        </w:pBdr>
      </w:pPr>
      <w:r>
        <w:rPr>
          <w:rFonts w:ascii="Carlito" w:hAnsi="Carlito" w:eastAsia="Carlito"/>
        </w:rPr>
        <w:t>Глава XX. Декларация кандидата по общественному мандату</w:t>
      </w:r>
    </w:p>
    <w:p>
      <w:pPr>
        <w:pStyle w:val="Heading2"/>
        <w:keepNext/>
        <w:keepLines/>
        <w:widowControl/>
      </w:pPr>
      <w:r>
        <w:rPr>
          <w:rFonts w:ascii="Carlito" w:hAnsi="Carlito" w:eastAsia="Carlito"/>
        </w:rPr>
        <w:t>1. Предмет и цель главы</w:t>
      </w:r>
    </w:p>
    <w:p>
      <w:pPr>
        <w:widowControl/>
      </w:pPr>
      <w:r>
        <w:rPr>
          <w:rFonts w:ascii="Carlito" w:hAnsi="Carlito" w:eastAsia="Carlito"/>
        </w:rPr>
        <w:t>Настоящая глава определяет правовую и процедурную природу декларации кандидата, формы отношения к каждому пункту общественного мандата, обязательные поля, предел непринятия, сроки, порядок фиксации версий, контроль, обжалование и последствия нарушения процедуры.</w:t>
      </w:r>
    </w:p>
    <w:p>
      <w:pPr>
        <w:widowControl/>
      </w:pPr>
      <w:r>
        <w:rPr>
          <w:rFonts w:ascii="Carlito" w:hAnsi="Carlito" w:eastAsia="Carlito"/>
        </w:rPr>
        <w:t>Цель главы — предоставить гражданину сопоставимую и подлинную информацию, не превращая общественное поручение в обязательную идеологическую программу и не передавая государству право окончательно толковать политическую речь.</w:t>
      </w:r>
    </w:p>
    <w:p>
      <w:pPr>
        <w:pStyle w:val="DoctrineQuote"/>
        <w:widowControl/>
      </w:pPr>
      <w:r>
        <w:rPr>
          <w:rFonts w:ascii="Carlito" w:hAnsi="Carlito" w:eastAsia="Carlito"/>
          <w:i/>
        </w:rPr>
        <w:t>Кандидат обязан сделать своё отношение к общественному мандату публично видимым, но не обязан соглашаться с ним. Универсальный режим различает полную декларацию, подписанный отказ от декларационного контура и отсутствие надлежащего ответа. Молчание, скрытое условие или несопоставимая альтернатива не выдаются за ясное принятие.</w:t>
      </w:r>
    </w:p>
    <w:p>
      <w:pPr>
        <w:pStyle w:val="Heading2"/>
        <w:keepNext/>
        <w:keepLines/>
        <w:widowControl/>
      </w:pPr>
      <w:r>
        <w:rPr>
          <w:rFonts w:ascii="Carlito" w:hAnsi="Carlito" w:eastAsia="Carlito"/>
        </w:rPr>
        <w:t>2. Понятие декларации кандидата</w:t>
      </w:r>
    </w:p>
    <w:p>
      <w:pPr>
        <w:widowControl/>
      </w:pPr>
      <w:r>
        <w:rPr>
          <w:rFonts w:ascii="Carlito" w:hAnsi="Carlito" w:eastAsia="Carlito"/>
        </w:rPr>
        <w:t>Декларация кандидата по общественному мандату — подписанный, датированный и версионируемый публичный документ, в котором кандидат по каждому сертифицированному пункту раскрывает собственную позицию, предел своих полномочий, предполагаемые действия, условия, зависимости, финансовые предпосылки и первый шаг в случае избрания.</w:t>
      </w:r>
    </w:p>
    <w:p>
      <w:pPr>
        <w:widowControl/>
      </w:pPr>
      <w:r>
        <w:rPr>
          <w:rFonts w:ascii="Carlito" w:hAnsi="Carlito" w:eastAsia="Carlito"/>
        </w:rPr>
        <w:t>Декларация не является договором между кандидатом и единым субъектом «общество», не создаёт права требовать гарантированного социального результата и не заменяет программу кандидата. Она образует официальный доказательственный след политической позиции и запускает предусмотренный законом режим подотчётности после избрания.</w:t>
      </w:r>
    </w:p>
    <w:p>
      <w:pPr>
        <w:pStyle w:val="Heading2"/>
        <w:keepNext/>
        <w:keepLines/>
        <w:widowControl/>
      </w:pPr>
      <w:r>
        <w:rPr>
          <w:rFonts w:ascii="Carlito" w:hAnsi="Carlito" w:eastAsia="Carlito"/>
        </w:rPr>
        <w:t>3. Субъекты подачи</w:t>
      </w:r>
    </w:p>
    <w:p>
      <w:pPr>
        <w:pStyle w:val="ListBullet"/>
        <w:widowControl/>
      </w:pPr>
      <w:r>
        <w:rPr>
          <w:rFonts w:ascii="Carlito" w:hAnsi="Carlito" w:eastAsia="Carlito"/>
        </w:rPr>
        <w:t>при прямых выборах — каждый зарегистрированный кандидат лично;</w:t>
      </w:r>
    </w:p>
    <w:p>
      <w:pPr>
        <w:pStyle w:val="ListBullet"/>
        <w:widowControl/>
      </w:pPr>
      <w:r>
        <w:rPr>
          <w:rFonts w:ascii="Carlito" w:hAnsi="Carlito" w:eastAsia="Carlito"/>
        </w:rPr>
        <w:t>при выборах по партийным спискам — партия или избирательное объединение, а в предусмотренных национальным правом случаях также лидер списка;</w:t>
      </w:r>
    </w:p>
    <w:p>
      <w:pPr>
        <w:pStyle w:val="ListBullet"/>
        <w:widowControl/>
      </w:pPr>
      <w:r>
        <w:rPr>
          <w:rFonts w:ascii="Carlito" w:hAnsi="Carlito" w:eastAsia="Carlito"/>
        </w:rPr>
        <w:t>при совместном избирательном билете — каждый кандидат по собственной компетенции и общий документ по совместным положениям;</w:t>
      </w:r>
    </w:p>
    <w:p>
      <w:pPr>
        <w:pStyle w:val="ListBullet"/>
        <w:widowControl/>
      </w:pPr>
      <w:r>
        <w:rPr>
          <w:rFonts w:ascii="Carlito" w:hAnsi="Carlito" w:eastAsia="Carlito"/>
        </w:rPr>
        <w:t>при коалиционном формировании правительства — партии подают предвыборные декларации независимо друг от друга; коалиционный документ возникает только после выборов и не стирает исходные позиции;</w:t>
      </w:r>
    </w:p>
    <w:p>
      <w:pPr>
        <w:pStyle w:val="ListBullet"/>
        <w:widowControl/>
      </w:pPr>
      <w:r>
        <w:rPr>
          <w:rFonts w:ascii="Carlito" w:hAnsi="Carlito" w:eastAsia="Carlito"/>
        </w:rPr>
        <w:t>при коллективном избираемом органе — национальная адаптация определяет, подаётся ли декларация списком, фракцией или кандидатом на должность главы исполнительной власти.</w:t>
      </w:r>
    </w:p>
    <w:p>
      <w:pPr>
        <w:pStyle w:val="Heading2"/>
        <w:keepNext/>
        <w:keepLines/>
        <w:widowControl/>
      </w:pPr>
      <w:r>
        <w:rPr>
          <w:rFonts w:ascii="Carlito" w:hAnsi="Carlito" w:eastAsia="Carlito"/>
        </w:rPr>
        <w:t>4. Обязательность публичного отношения</w:t>
      </w:r>
    </w:p>
    <w:p>
      <w:pPr>
        <w:widowControl/>
      </w:pPr>
      <w:r>
        <w:rPr>
          <w:rFonts w:ascii="Carlito" w:hAnsi="Carlito" w:eastAsia="Carlito"/>
        </w:rPr>
        <w:t>Каждый кандидат получает общественный мандат в одной и той же сертифицированной версии, единый срок, одинаковый объём формы и равный доступ к технической помощи. Он исполняет универсальную процедурную обязанность одним из двух способов: представляет позицию по каждому утверждённому пункту общественного поручения либо подаёт единое подписанное заявление об отказе от участия в декларационном контуре. При отсутствии обоих действий оператор фиксирует нейтральный статус «Позиция не представлена».</w:t>
      </w:r>
    </w:p>
    <w:p>
      <w:pPr>
        <w:widowControl/>
      </w:pPr>
      <w:r>
        <w:rPr>
          <w:rFonts w:ascii="Carlito" w:hAnsi="Carlito" w:eastAsia="Carlito"/>
        </w:rPr>
        <w:t>Обязанность публично отнестись к мандату не означает обязанность согласиться. Закон не вправе требовать от кандидата поддерживать конкретную идеологию, экономическую теорию, группу интересов или способ реализации. Подписанный отказ и мотивы непринятия публикуются без государственной оценки их политической правильности.</w:t>
      </w:r>
    </w:p>
    <w:p>
      <w:pPr>
        <w:pStyle w:val="Heading2"/>
        <w:keepNext/>
        <w:keepLines/>
        <w:widowControl/>
      </w:pPr>
      <w:r>
        <w:rPr>
          <w:rFonts w:ascii="Carlito" w:hAnsi="Carlito" w:eastAsia="Carlito"/>
        </w:rPr>
        <w:t>5. Режимы национального закрепления</w:t>
      </w:r>
    </w:p>
    <w:tbl>
      <w:tblPr>
        <w:tblStyle w:val="TableGrid"/>
        <w:tblW w:type="auto" w:w="0"/>
        <w:jc w:val="center"/>
        <w:tblLook w:firstColumn="1" w:firstRow="1" w:lastColumn="0" w:lastRow="0" w:noHBand="0" w:noVBand="1" w:val="04A0"/>
      </w:tblPr>
      <w:tblGrid>
        <w:gridCol w:w="2416"/>
        <w:gridCol w:w="2416"/>
        <w:gridCol w:w="2416"/>
        <w:gridCol w:w="2416"/>
      </w:tblGrid>
      <w:tr>
        <w:trPr>
          <w:tblHeader w:val="true"/>
          <w:cantSplit/>
          <w:cantSplit/>
          <w:tblHeader w:val="true"/>
        </w:trPr>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Режим</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Правовой эффект</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Минимальные гарантии</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Допустимое обозначение</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Полный конституционный</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Обязанность подачи и предел непринятия имеют заранее установленное последствие, совместимое с правом быть избранным</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Специальное правовое основание, раннее принятие правил, равенство, ускоренный суд, отсутствие идеологического контроля</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Полная реализация кандидатского элемента</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Информационно-обязательный</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Подача обязательна; отсутствие или превышение предела официально фиксируется, но не препятствует регистрации</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Публичность, равное распространение, процедурная ответственность только за непредставление формы или подделку</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Национальная адаптация без ограничения допуска</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Пилотный</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Подача добровольна; проверяются понятность, нейтральность, стоимость и интерфейс</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Никаких санкций; ясное указание экспериментального статуса; независимая оценка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Пилот кандидатской декларации</w:t>
            </w:r>
          </w:p>
        </w:tc>
      </w:tr>
    </w:tbl>
    <w:p>
      <w:pPr>
        <w:widowControl/>
      </w:pPr>
    </w:p>
    <w:p>
      <w:pPr>
        <w:widowControl/>
      </w:pPr>
      <w:r>
        <w:rPr>
          <w:rFonts w:ascii="Carlito" w:hAnsi="Carlito" w:eastAsia="Carlito"/>
        </w:rPr>
        <w:t>Национальная редакция обязана назвать выбранный режим до начала цикла. Пилотный или информационный режим не может задним числом объявляться полным юридическим связыванием кандидата.</w:t>
      </w:r>
    </w:p>
    <w:p>
      <w:pPr>
        <w:pStyle w:val="Heading2"/>
        <w:keepNext/>
        <w:keepLines/>
        <w:widowControl/>
      </w:pPr>
      <w:r>
        <w:rPr>
          <w:rFonts w:ascii="Carlito" w:hAnsi="Carlito" w:eastAsia="Carlito"/>
        </w:rPr>
        <w:t>6. Единица декларирования</w:t>
      </w:r>
    </w:p>
    <w:p>
      <w:pPr>
        <w:widowControl/>
      </w:pPr>
      <w:r>
        <w:rPr>
          <w:rFonts w:ascii="Carlito" w:hAnsi="Carlito" w:eastAsia="Carlito"/>
        </w:rPr>
        <w:t>Позиция подаётся отдельно по каждому пункту общественного мандата. Общая формула «принимаю мандат в целом» не заменяет ответы. Одновременно кандидат вправе приложить общее политическое введение, объяснить систему приоритетов и указать взаимозависимость нескольких пунктов.</w:t>
      </w:r>
    </w:p>
    <w:p>
      <w:pPr>
        <w:widowControl/>
      </w:pPr>
      <w:r>
        <w:rPr>
          <w:rFonts w:ascii="Carlito" w:hAnsi="Carlito" w:eastAsia="Carlito"/>
        </w:rPr>
        <w:t>Если пункт содержит несколько неразрывных элементов, кандидат раскрывает позицию по каждому элементу и по пункту в целом. Частичное принятие не маркируется как полное принятие.</w:t>
      </w:r>
    </w:p>
    <w:p>
      <w:pPr>
        <w:pStyle w:val="Heading2"/>
        <w:keepNext/>
        <w:keepLines/>
        <w:widowControl/>
      </w:pPr>
      <w:r>
        <w:rPr>
          <w:rFonts w:ascii="Carlito" w:hAnsi="Carlito" w:eastAsia="Carlito"/>
        </w:rPr>
        <w:t>7. Формы позиции</w:t>
      </w:r>
    </w:p>
    <w:tbl>
      <w:tblPr>
        <w:tblStyle w:val="TableGrid"/>
        <w:tblW w:type="auto" w:w="0"/>
        <w:jc w:val="center"/>
        <w:tblLook w:firstColumn="1" w:firstRow="1" w:lastColumn="0" w:lastRow="0" w:noHBand="0" w:noVBand="1" w:val="04A0"/>
      </w:tblPr>
      <w:tblGrid>
        <w:gridCol w:w="2416"/>
        <w:gridCol w:w="2416"/>
        <w:gridCol w:w="2416"/>
        <w:gridCol w:w="2416"/>
      </w:tblGrid>
      <w:tr>
        <w:trPr>
          <w:tblHeader w:val="true"/>
          <w:cantSplit/>
          <w:cantSplit/>
          <w:tblHeader w:val="true"/>
        </w:trPr>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Код</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Форма</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Содержание</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Учитывается в пределе</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КП-1</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Полное принятие</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Цель и минимальный ожидаемый общественный результат принимаются без дополнительного политически значимого условия; способ остаётся в компетенции кандидата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Как принятие</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КП-2</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Принятие при объективном условии</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Цель принимается при наступлении заранее раскрытого, измеримого и не находящегося под односторонним контролем кандидата обстоятельства</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Как принятие при соблюдении требований к условию</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КП-3</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Сопоставимая альтернатива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Кандидат предлагает иную цель, охват, срок или правовой эффект и прямо признаёт отличие от общественного пункта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В отдельном ограниченном контуре альтернатив</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КП-4</w:t>
            </w:r>
          </w:p>
        </w:tc>
        <w:tc>
          <w:tcPr>
            <w:tcW w:type="dxa" w:w="2416"/>
            <w:tcMar>
              <w:top w:w="65" w:type="dxa"/>
              <w:start w:w="85" w:type="dxa"/>
              <w:bottom w:w="65" w:type="dxa"/>
              <w:end w:w="85" w:type="dxa"/>
            </w:tcMar>
            <w:vAlign w:val="center"/>
            <w:shd w:fill="EDF3F7"/>
          </w:tcPr>
          <w:p>
            <w:r/>
            <w:r>
              <w:t>Непринятие пункта</w:t>
            </w:r>
          </w:p>
        </w:tc>
        <w:tc>
          <w:tcPr>
            <w:tcW w:type="dxa" w:w="2416"/>
            <w:tcMar>
              <w:top w:w="65" w:type="dxa"/>
              <w:start w:w="85" w:type="dxa"/>
              <w:bottom w:w="65" w:type="dxa"/>
              <w:end w:w="85" w:type="dxa"/>
            </w:tcMar>
            <w:vAlign w:val="center"/>
            <w:shd w:fill="EDF3F7"/>
          </w:tcPr>
          <w:p>
            <w:r/>
            <w:r>
              <w:t>Кандидат не принимает конкретный пункт и объясняет причины либо прямо сообщает об отсутствии объяснения</w:t>
            </w:r>
          </w:p>
        </w:tc>
        <w:tc>
          <w:tcPr>
            <w:tcW w:type="dxa" w:w="2416"/>
            <w:tcMar>
              <w:top w:w="65" w:type="dxa"/>
              <w:start w:w="85" w:type="dxa"/>
              <w:bottom w:w="65" w:type="dxa"/>
              <w:end w:w="85" w:type="dxa"/>
            </w:tcMar>
            <w:vAlign w:val="center"/>
            <w:shd w:fill="EDF3F7"/>
          </w:tcPr>
          <w:p>
            <w:r/>
            <w:r>
              <w:t>В пределах непринятия</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КП-5</w:t>
            </w:r>
          </w:p>
        </w:tc>
        <w:tc>
          <w:tcPr>
            <w:tcW w:type="dxa" w:w="2416"/>
            <w:tcMar>
              <w:top w:w="65" w:type="dxa"/>
              <w:start w:w="85" w:type="dxa"/>
              <w:bottom w:w="65" w:type="dxa"/>
              <w:end w:w="85" w:type="dxa"/>
            </w:tcMar>
            <w:vAlign w:val="center"/>
          </w:tcPr>
          <w:p>
            <w:r/>
            <w:r>
              <w:t>Позиция не представлена</w:t>
            </w:r>
          </w:p>
        </w:tc>
        <w:tc>
          <w:tcPr>
            <w:tcW w:type="dxa" w:w="2416"/>
            <w:tcMar>
              <w:top w:w="65" w:type="dxa"/>
              <w:start w:w="85" w:type="dxa"/>
              <w:bottom w:w="65" w:type="dxa"/>
              <w:end w:w="85" w:type="dxa"/>
            </w:tcMar>
            <w:vAlign w:val="center"/>
          </w:tcPr>
          <w:p>
            <w:r/>
            <w:r>
              <w:t>По конкретному пункту отсутствует надлежащий подтверждённый ответ; общий подписанный отказ от декларационного контура и простое непредставление ответа показываются раздельно</w:t>
            </w:r>
          </w:p>
        </w:tc>
        <w:tc>
          <w:tcPr>
            <w:tcW w:type="dxa" w:w="2416"/>
            <w:tcMar>
              <w:top w:w="65" w:type="dxa"/>
              <w:start w:w="85" w:type="dxa"/>
              <w:bottom w:w="65" w:type="dxa"/>
              <w:end w:w="85" w:type="dxa"/>
            </w:tcMar>
            <w:vAlign w:val="center"/>
          </w:tcPr>
          <w:p>
            <w:r/>
            <w:r>
              <w:t>Не участвует в статусе присоединения; учитывается как непредставленная позиция</w:t>
            </w:r>
          </w:p>
        </w:tc>
      </w:tr>
    </w:tbl>
    <w:p>
      <w:pPr>
        <w:widowControl/>
      </w:pPr>
    </w:p>
    <w:p>
      <w:pPr>
        <w:widowControl/>
      </w:pPr>
      <w:r>
        <w:rPr>
          <w:rFonts w:ascii="Carlito" w:hAnsi="Carlito" w:eastAsia="Carlito"/>
        </w:rPr>
        <w:t>Коды являются нейтральными идентификаторами и не получают оценочного цвета, балла или иерархии. Официальный материал не называет КП-1 «правильной», а КП-4 «отрицательной» позицией.</w:t>
      </w:r>
    </w:p>
    <w:p>
      <w:pPr>
        <w:pStyle w:val="Heading2"/>
        <w:keepNext/>
        <w:keepLines/>
        <w:widowControl/>
      </w:pPr>
      <w:r>
        <w:rPr>
          <w:rFonts w:ascii="Carlito" w:hAnsi="Carlito" w:eastAsia="Carlito"/>
        </w:rPr>
        <w:t>8. Ограниченный предел непринятия</w:t>
      </w:r>
    </w:p>
    <w:p>
      <w:pPr>
        <w:widowControl/>
      </w:pPr>
      <w:r>
        <w:rPr>
          <w:rFonts w:ascii="Carlito" w:hAnsi="Carlito" w:eastAsia="Carlito"/>
        </w:rPr>
        <w:t>Полная модель требует, чтобы кандидат принял полностью или при допустимых условиях заранее установленную минимальную долю пунктов. Альтернативы допускаются в отдельной ограниченной доле. Совокупность явных отказов и непредставленных позиций не может превышать установленный предел.</w:t>
      </w:r>
    </w:p>
    <w:p>
      <w:pPr>
        <w:widowControl/>
      </w:pPr>
      <w:r>
        <w:rPr>
          <w:rFonts w:ascii="Carlito" w:hAnsi="Carlito" w:eastAsia="Carlito"/>
        </w:rPr>
        <w:t>Точные значения являются национальными параметрами и должны:</w:t>
      </w:r>
    </w:p>
    <w:p>
      <w:pPr>
        <w:pStyle w:val="ListBullet"/>
        <w:widowControl/>
      </w:pPr>
      <w:r>
        <w:rPr>
          <w:rFonts w:ascii="Carlito" w:hAnsi="Carlito" w:eastAsia="Carlito"/>
        </w:rPr>
        <w:t>быть установлены до начала сбора инициатив и не меняться под конкретный список кандидатов;</w:t>
      </w:r>
    </w:p>
    <w:p>
      <w:pPr>
        <w:pStyle w:val="ListBullet"/>
        <w:widowControl/>
      </w:pPr>
      <w:r>
        <w:rPr>
          <w:rFonts w:ascii="Carlito" w:hAnsi="Carlito" w:eastAsia="Carlito"/>
        </w:rPr>
        <w:t>основываться на малом и понятном числе пунктов общественного мандата;</w:t>
      </w:r>
    </w:p>
    <w:p>
      <w:pPr>
        <w:pStyle w:val="ListBullet"/>
        <w:widowControl/>
      </w:pPr>
      <w:r>
        <w:rPr>
          <w:rFonts w:ascii="Carlito" w:hAnsi="Carlito" w:eastAsia="Carlito"/>
        </w:rPr>
        <w:t>не вынуждать кандидата принимать положение, которое он считает незаконным, нарушающим права или находящимся вне компетенции;</w:t>
      </w:r>
    </w:p>
    <w:p>
      <w:pPr>
        <w:pStyle w:val="ListBullet"/>
        <w:widowControl/>
      </w:pPr>
      <w:r>
        <w:rPr>
          <w:rFonts w:ascii="Carlito" w:hAnsi="Carlito" w:eastAsia="Carlito"/>
        </w:rPr>
        <w:t>учитывать возможность объективно несовместимых пунктов и коалиционных систем;</w:t>
      </w:r>
    </w:p>
    <w:p>
      <w:pPr>
        <w:pStyle w:val="ListBullet"/>
        <w:widowControl/>
      </w:pPr>
      <w:r>
        <w:rPr>
          <w:rFonts w:ascii="Carlito" w:hAnsi="Carlito" w:eastAsia="Carlito"/>
        </w:rPr>
        <w:t>быть одинаковыми для всех кандидатов соответствующего вида выборов;</w:t>
      </w:r>
    </w:p>
    <w:p>
      <w:pPr>
        <w:pStyle w:val="ListBullet"/>
        <w:widowControl/>
      </w:pPr>
      <w:r>
        <w:rPr>
          <w:rFonts w:ascii="Carlito" w:hAnsi="Carlito" w:eastAsia="Carlito"/>
        </w:rPr>
        <w:t>проходить независимую оценку соразмерности и доступности судебной защиты.</w:t>
      </w:r>
    </w:p>
    <w:p>
      <w:pPr>
        <w:widowControl/>
      </w:pPr>
      <w:r>
        <w:rPr>
          <w:rFonts w:ascii="Carlito" w:hAnsi="Carlito" w:eastAsia="Carlito"/>
        </w:rPr>
        <w:t>Пункт, признанный судом явно незаконным, технически дефектным или не относящимся к компетенции избираемой должности, не учитывается против кандидата до исправления или окончательного разрешения спора.</w:t>
      </w:r>
    </w:p>
    <w:p>
      <w:pPr>
        <w:pStyle w:val="Heading2"/>
        <w:keepNext/>
        <w:keepLines/>
        <w:widowControl/>
      </w:pPr>
      <w:r>
        <w:rPr>
          <w:rFonts w:ascii="Carlito" w:hAnsi="Carlito" w:eastAsia="Carlito"/>
        </w:rPr>
        <w:t>9. Обязательные поля по каждому пункту</w:t>
      </w:r>
    </w:p>
    <w:p>
      <w:pPr>
        <w:pStyle w:val="ListBullet"/>
        <w:widowControl/>
      </w:pPr>
      <w:r>
        <w:rPr>
          <w:rFonts w:ascii="Carlito" w:hAnsi="Carlito" w:eastAsia="Carlito"/>
        </w:rPr>
        <w:t>выбранная кандидатом форма позиции;</w:t>
      </w:r>
    </w:p>
    <w:p>
      <w:pPr>
        <w:pStyle w:val="ListBullet"/>
        <w:widowControl/>
      </w:pPr>
      <w:r>
        <w:rPr>
          <w:rFonts w:ascii="Carlito" w:hAnsi="Carlito" w:eastAsia="Carlito"/>
        </w:rPr>
        <w:t>неизменённая цитата сертифицированного пункта и его идентификатор;</w:t>
      </w:r>
    </w:p>
    <w:p>
      <w:pPr>
        <w:pStyle w:val="ListBullet"/>
        <w:widowControl/>
      </w:pPr>
      <w:r>
        <w:rPr>
          <w:rFonts w:ascii="Carlito" w:hAnsi="Carlito" w:eastAsia="Carlito"/>
        </w:rPr>
        <w:t>краткий ответ в установленном объёме;</w:t>
      </w:r>
    </w:p>
    <w:p>
      <w:pPr>
        <w:pStyle w:val="ListBullet"/>
        <w:widowControl/>
      </w:pPr>
      <w:r>
        <w:rPr>
          <w:rFonts w:ascii="Carlito" w:hAnsi="Carlito" w:eastAsia="Carlito"/>
        </w:rPr>
        <w:t>полный текст объяснения без редакционного сокращения;</w:t>
      </w:r>
    </w:p>
    <w:p>
      <w:pPr>
        <w:pStyle w:val="ListBullet"/>
        <w:widowControl/>
      </w:pPr>
      <w:r>
        <w:rPr>
          <w:rFonts w:ascii="Carlito" w:hAnsi="Carlito" w:eastAsia="Carlito"/>
        </w:rPr>
        <w:t>собственные конституционные и законные полномочия;</w:t>
      </w:r>
    </w:p>
    <w:p>
      <w:pPr>
        <w:pStyle w:val="ListBullet"/>
        <w:widowControl/>
      </w:pPr>
      <w:r>
        <w:rPr>
          <w:rFonts w:ascii="Carlito" w:hAnsi="Carlito" w:eastAsia="Carlito"/>
        </w:rPr>
        <w:t>первое действие, которое кандидат способен совершить самостоятельно;</w:t>
      </w:r>
    </w:p>
    <w:p>
      <w:pPr>
        <w:pStyle w:val="ListBullet"/>
        <w:widowControl/>
      </w:pPr>
      <w:r>
        <w:rPr>
          <w:rFonts w:ascii="Carlito" w:hAnsi="Carlito" w:eastAsia="Carlito"/>
        </w:rPr>
        <w:t>зависимости от парламента, суда, регионов, бюджета, рынка или внешней среды;</w:t>
      </w:r>
    </w:p>
    <w:p>
      <w:pPr>
        <w:pStyle w:val="ListBullet"/>
        <w:widowControl/>
      </w:pPr>
      <w:r>
        <w:rPr>
          <w:rFonts w:ascii="Carlito" w:hAnsi="Carlito" w:eastAsia="Carlito"/>
        </w:rPr>
        <w:t>условие и внешний источник его проверки, если выбрана КП-2;</w:t>
      </w:r>
    </w:p>
    <w:p>
      <w:pPr>
        <w:pStyle w:val="ListBullet"/>
        <w:widowControl/>
      </w:pPr>
      <w:r>
        <w:rPr>
          <w:rFonts w:ascii="Carlito" w:hAnsi="Carlito" w:eastAsia="Carlito"/>
        </w:rPr>
        <w:t>таблица различий, если выбрана КП-3;</w:t>
      </w:r>
    </w:p>
    <w:p>
      <w:pPr>
        <w:pStyle w:val="ListBullet"/>
        <w:widowControl/>
      </w:pPr>
      <w:r>
        <w:rPr>
          <w:rFonts w:ascii="Carlito" w:hAnsi="Carlito" w:eastAsia="Carlito"/>
        </w:rPr>
        <w:t>предполагаемый срок первого шага и ориентир планирования;</w:t>
      </w:r>
    </w:p>
    <w:p>
      <w:pPr>
        <w:pStyle w:val="ListBullet"/>
        <w:widowControl/>
      </w:pPr>
      <w:r>
        <w:rPr>
          <w:rFonts w:ascii="Carlito" w:hAnsi="Carlito" w:eastAsia="Carlito"/>
        </w:rPr>
        <w:t>бюджетные предпосылки и известные источники либо честное указание, что источник не определён;</w:t>
      </w:r>
    </w:p>
    <w:p>
      <w:pPr>
        <w:pStyle w:val="ListBullet"/>
        <w:widowControl/>
      </w:pPr>
      <w:r>
        <w:rPr>
          <w:rFonts w:ascii="Carlito" w:hAnsi="Carlito" w:eastAsia="Carlito"/>
        </w:rPr>
        <w:t>основной показатель и ограничения причинного вывода;</w:t>
      </w:r>
    </w:p>
    <w:p>
      <w:pPr>
        <w:pStyle w:val="ListBullet"/>
        <w:widowControl/>
      </w:pPr>
      <w:r>
        <w:rPr>
          <w:rFonts w:ascii="Carlito" w:hAnsi="Carlito" w:eastAsia="Carlito"/>
        </w:rPr>
        <w:t>дата, версия, способ подписи и уполномоченное лицо.</w:t>
      </w:r>
    </w:p>
    <w:p>
      <w:pPr>
        <w:pStyle w:val="Heading2"/>
        <w:keepNext/>
        <w:keepLines/>
        <w:widowControl/>
      </w:pPr>
      <w:r>
        <w:rPr>
          <w:rFonts w:ascii="Carlito" w:hAnsi="Carlito" w:eastAsia="Carlito"/>
        </w:rPr>
        <w:t>10. Полное принятие</w:t>
      </w:r>
    </w:p>
    <w:p>
      <w:pPr>
        <w:widowControl/>
      </w:pPr>
      <w:r>
        <w:rPr>
          <w:rFonts w:ascii="Carlito" w:hAnsi="Carlito" w:eastAsia="Carlito"/>
        </w:rPr>
        <w:t>Полное принятие означает принятие граждански утверждённой цели и минимального ожидаемого общественного результата в пределах собственной компетенции. Оно не означает обещание нарушить закон, гарантировать решение независимого органа или сохранить первоначально предполагаемый способ при появлении лучшей правомерной альтернативы.</w:t>
      </w:r>
    </w:p>
    <w:p>
      <w:pPr>
        <w:widowControl/>
      </w:pPr>
      <w:r>
        <w:rPr>
          <w:rFonts w:ascii="Carlito" w:hAnsi="Carlito" w:eastAsia="Carlito"/>
        </w:rPr>
        <w:t>Кандидат не вправе одновременно выбрать КП-1 и включить в полный текст фразу, которая: отменяет цель; снижает установленный охват; переносит решение на неопределённый срок; ставит выполнение в зависимость от его собственного последующего согласия; заменяет результат только исследованием или консультацией.</w:t>
      </w:r>
    </w:p>
    <w:p>
      <w:pPr>
        <w:pStyle w:val="Heading2"/>
        <w:keepNext/>
        <w:keepLines/>
        <w:widowControl/>
      </w:pPr>
      <w:r>
        <w:rPr>
          <w:rFonts w:ascii="Carlito" w:hAnsi="Carlito" w:eastAsia="Carlito"/>
        </w:rPr>
        <w:t>11. Принятие при объективном условии</w:t>
      </w:r>
    </w:p>
    <w:p>
      <w:pPr>
        <w:widowControl/>
      </w:pPr>
      <w:r>
        <w:rPr>
          <w:rFonts w:ascii="Carlito" w:hAnsi="Carlito" w:eastAsia="Carlito"/>
        </w:rPr>
        <w:t>Допустимое условие должно быть конкретным, проверяемым, относимым к пункту и не находиться под односторонним контролем кандидата или сформированных им органов. Указывается источник данных, момент проверки и последствия частичного наступления.</w:t>
      </w:r>
    </w:p>
    <w:p>
      <w:pPr>
        <w:pStyle w:val="ListBullet"/>
        <w:widowControl/>
      </w:pPr>
      <w:r>
        <w:rPr>
          <w:rFonts w:ascii="Carlito" w:hAnsi="Carlito" w:eastAsia="Carlito"/>
        </w:rPr>
        <w:t>правовое условие: вступление в силу закона, решение суда, отсутствие прямо установленного запрета;</w:t>
      </w:r>
    </w:p>
    <w:p>
      <w:pPr>
        <w:pStyle w:val="ListBullet"/>
        <w:widowControl/>
      </w:pPr>
      <w:r>
        <w:rPr>
          <w:rFonts w:ascii="Carlito" w:hAnsi="Carlito" w:eastAsia="Carlito"/>
        </w:rPr>
        <w:t>финансовое условие: измеримый параметр бюджета или долга по заранее опубликованной методике;</w:t>
      </w:r>
    </w:p>
    <w:p>
      <w:pPr>
        <w:pStyle w:val="ListBullet"/>
        <w:widowControl/>
      </w:pPr>
      <w:r>
        <w:rPr>
          <w:rFonts w:ascii="Carlito" w:hAnsi="Carlito" w:eastAsia="Carlito"/>
        </w:rPr>
        <w:t>фактическое условие: наступление внешнего события, подтверждаемого независимыми данными;</w:t>
      </w:r>
    </w:p>
    <w:p>
      <w:pPr>
        <w:pStyle w:val="ListBullet"/>
        <w:widowControl/>
      </w:pPr>
      <w:r>
        <w:rPr>
          <w:rFonts w:ascii="Carlito" w:hAnsi="Carlito" w:eastAsia="Carlito"/>
        </w:rPr>
        <w:t>межуровневое условие: согласие или решение компетентного региона, муниципалитета или коллективного органа;</w:t>
      </w:r>
    </w:p>
    <w:p>
      <w:pPr>
        <w:pStyle w:val="ListBullet"/>
        <w:widowControl/>
      </w:pPr>
      <w:r>
        <w:rPr>
          <w:rFonts w:ascii="Carlito" w:hAnsi="Carlito" w:eastAsia="Carlito"/>
        </w:rPr>
        <w:t>международное условие: действие другой стороны, которое кандидат не способен гарантировать.</w:t>
      </w:r>
    </w:p>
    <w:p>
      <w:pPr>
        <w:widowControl/>
      </w:pPr>
      <w:r>
        <w:rPr>
          <w:rFonts w:ascii="Carlito" w:hAnsi="Carlito" w:eastAsia="Carlito"/>
        </w:rPr>
        <w:t>Формулы «если будет возможность», «если общество поддержит», «если правительство сочтёт целесообразным» или «при наличии ресурсов» без численного и институционального определения не признаются допустимым условием для целей формы КП-2.</w:t>
      </w:r>
    </w:p>
    <w:p>
      <w:pPr>
        <w:pStyle w:val="Heading2"/>
        <w:keepNext/>
        <w:keepLines/>
        <w:widowControl/>
      </w:pPr>
      <w:r>
        <w:rPr>
          <w:rFonts w:ascii="Carlito" w:hAnsi="Carlito" w:eastAsia="Carlito"/>
        </w:rPr>
        <w:t>12. Сопоставимая альтернатива</w:t>
      </w:r>
    </w:p>
    <w:p>
      <w:pPr>
        <w:widowControl/>
      </w:pPr>
      <w:r>
        <w:rPr>
          <w:rFonts w:ascii="Carlito" w:hAnsi="Carlito" w:eastAsia="Carlito"/>
        </w:rPr>
        <w:t>Альтернатива является самостоятельной политической позицией, а не исправленной редакцией общественного мандата. Она публикуется рядом с исходным пунктом и не считается принятием исходного решения.</w:t>
      </w:r>
    </w:p>
    <w:tbl>
      <w:tblPr>
        <w:tblStyle w:val="TableGrid"/>
        <w:tblW w:type="auto" w:w="0"/>
        <w:jc w:val="center"/>
        <w:tblLook w:firstColumn="1" w:firstRow="1" w:lastColumn="0" w:lastRow="0" w:noHBand="0" w:noVBand="1" w:val="04A0"/>
      </w:tblPr>
      <w:tblGrid>
        <w:gridCol w:w="3222"/>
        <w:gridCol w:w="3222"/>
        <w:gridCol w:w="3222"/>
      </w:tblGrid>
      <w:tr>
        <w:trPr>
          <w:tblHeader w:val="true"/>
          <w:cantSplit/>
          <w:cantSplit/>
          <w:tblHeader w:val="true"/>
        </w:trPr>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Сопоставимый элемент</w:t>
            </w:r>
          </w:p>
        </w:tc>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Общественный пункт</w:t>
            </w:r>
          </w:p>
        </w:tc>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Альтернатива кандидата</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Цель и проблема</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Неизменённая формулировка</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Формулировка кандидата и точка расхождения</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Охват и затронутые группы</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Исходный объём</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Кого включает или исключает альтернатива</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Срок</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Общественный ориентир</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Предлагаемый срок</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Стоимость и источник</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Диапазон экспертизы</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Расчёт кандидата и допущения</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Правовой эффект</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Требуемый тип решения</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Предлагаемый акт и компетентный орган</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Распределительные последствия</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Опубликованные эффекты</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Отличия выгод, издержек и рисков</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Показатель результата</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Исходный показатель</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Показатель кандидата и его ограничения</w:t>
            </w:r>
          </w:p>
        </w:tc>
      </w:tr>
    </w:tbl>
    <w:p>
      <w:pPr>
        <w:widowControl/>
      </w:pPr>
    </w:p>
    <w:p>
      <w:pPr>
        <w:widowControl/>
      </w:pPr>
      <w:r>
        <w:rPr>
          <w:rFonts w:ascii="Carlito" w:hAnsi="Carlito" w:eastAsia="Carlito"/>
        </w:rPr>
        <w:t>Официальный орган не решает, является ли альтернатива «лучше» или «эквивалентна». Он проверяет наличие сопоставимых полей и публикует независимые экспертные сценарии без права политического вето.</w:t>
      </w:r>
    </w:p>
    <w:p>
      <w:pPr>
        <w:pStyle w:val="Heading2"/>
        <w:keepNext/>
        <w:keepLines/>
        <w:widowControl/>
      </w:pPr>
      <w:r>
        <w:rPr>
          <w:rFonts w:ascii="Carlito" w:hAnsi="Carlito" w:eastAsia="Carlito"/>
        </w:rPr>
        <w:t>13. Непринятие, отказ от декларационного контура и позиция не представлена</w:t>
      </w:r>
    </w:p>
    <w:p>
      <w:pPr>
        <w:widowControl/>
      </w:pPr>
      <w:r>
        <w:rPr>
          <w:rFonts w:ascii="Carlito" w:hAnsi="Carlito" w:eastAsia="Carlito"/>
        </w:rPr>
        <w:t>Отказ является законной формой политической позиции. Кандидат вправе ссылаться на права человека, компетенцию, бюджет, риски, альтернативные ценности, иные приоритеты или несогласие с самой целью. Объяснение публикуется полностью.</w:t>
      </w:r>
    </w:p>
    <w:p>
      <w:pPr>
        <w:widowControl/>
      </w:pPr>
      <w:r>
        <w:rPr>
          <w:rFonts w:ascii="Carlito" w:hAnsi="Carlito" w:eastAsia="Carlito"/>
        </w:rPr>
        <w:t>Отсутствие объяснения не превращает непринятие пункта в содержательное правонарушение. В официальном материале указывается: «Пункт не принят; объяснение не представлено». Единый подписанный отказ от декларационного контура показывается отдельно от поэлементного непринятия. Если ни декларация, ни подписанный отказ не представлены в срок, публикуется статус «Позиция не представлена»; он не считается молчаливым принятием и не выводится из иных заявлений кандидата.</w:t>
      </w:r>
    </w:p>
    <w:p>
      <w:pPr>
        <w:pStyle w:val="Heading2"/>
        <w:keepNext/>
        <w:keepLines/>
        <w:widowControl/>
      </w:pPr>
      <w:r>
        <w:rPr>
          <w:rFonts w:ascii="Carlito" w:hAnsi="Carlito" w:eastAsia="Carlito"/>
        </w:rPr>
        <w:t>14. Самоопределение и формальная проверка</w:t>
      </w:r>
    </w:p>
    <w:p>
      <w:pPr>
        <w:widowControl/>
      </w:pPr>
      <w:r>
        <w:rPr>
          <w:rFonts w:ascii="Carlito" w:hAnsi="Carlito" w:eastAsia="Carlito"/>
        </w:rPr>
        <w:t>Кандидат сам выбирает код КП-1–КП-5 и подписывает подтверждение, что основной и полный тексты не содержат скрытой позиции, несовместимой с выбранной формой. Оператор не вправе заменять этот выбор собственным политическим выводом.</w:t>
      </w:r>
    </w:p>
    <w:p>
      <w:pPr>
        <w:widowControl/>
      </w:pPr>
      <w:r>
        <w:rPr>
          <w:rFonts w:ascii="Carlito" w:hAnsi="Carlito" w:eastAsia="Carlito"/>
        </w:rPr>
        <w:t>Формальная проверка может установить только:</w:t>
      </w:r>
    </w:p>
    <w:p>
      <w:pPr>
        <w:pStyle w:val="ListBullet"/>
        <w:widowControl/>
      </w:pPr>
      <w:r>
        <w:rPr>
          <w:rFonts w:ascii="Carlito" w:hAnsi="Carlito" w:eastAsia="Carlito"/>
        </w:rPr>
        <w:t>отсутствие обязательного поля, подписи, источника или версии;</w:t>
      </w:r>
    </w:p>
    <w:p>
      <w:pPr>
        <w:pStyle w:val="ListBullet"/>
        <w:widowControl/>
      </w:pPr>
      <w:r>
        <w:rPr>
          <w:rFonts w:ascii="Carlito" w:hAnsi="Carlito" w:eastAsia="Carlito"/>
        </w:rPr>
        <w:t>наличие прямо выраженного условия при выбранной КП-1;</w:t>
      </w:r>
    </w:p>
    <w:p>
      <w:pPr>
        <w:pStyle w:val="ListBullet"/>
        <w:widowControl/>
      </w:pPr>
      <w:r>
        <w:rPr>
          <w:rFonts w:ascii="Carlito" w:hAnsi="Carlito" w:eastAsia="Carlito"/>
        </w:rPr>
        <w:t>наличие прямо выраженной замены цели при выбранной КП-1 или КП-2;</w:t>
      </w:r>
    </w:p>
    <w:p>
      <w:pPr>
        <w:pStyle w:val="ListBullet"/>
        <w:widowControl/>
      </w:pPr>
      <w:r>
        <w:rPr>
          <w:rFonts w:ascii="Carlito" w:hAnsi="Carlito" w:eastAsia="Carlito"/>
        </w:rPr>
        <w:t>отсутствие объективного определителя условия при КП-2;</w:t>
      </w:r>
    </w:p>
    <w:p>
      <w:pPr>
        <w:pStyle w:val="ListBullet"/>
        <w:widowControl/>
      </w:pPr>
      <w:r>
        <w:rPr>
          <w:rFonts w:ascii="Carlito" w:hAnsi="Carlito" w:eastAsia="Carlito"/>
        </w:rPr>
        <w:t>отсутствие таблицы различий при КП-3;</w:t>
      </w:r>
    </w:p>
    <w:p>
      <w:pPr>
        <w:pStyle w:val="ListBullet"/>
        <w:widowControl/>
      </w:pPr>
      <w:r>
        <w:rPr>
          <w:rFonts w:ascii="Carlito" w:hAnsi="Carlito" w:eastAsia="Carlito"/>
        </w:rPr>
        <w:t>прямое противоречие между кратким и полным текстом;</w:t>
      </w:r>
    </w:p>
    <w:p>
      <w:pPr>
        <w:pStyle w:val="ListBullet"/>
        <w:widowControl/>
      </w:pPr>
      <w:r>
        <w:rPr>
          <w:rFonts w:ascii="Carlito" w:hAnsi="Carlito" w:eastAsia="Carlito"/>
        </w:rPr>
        <w:t>ссылку на документ, которого не существует или который не относится к заявленному факту;</w:t>
      </w:r>
    </w:p>
    <w:p>
      <w:pPr>
        <w:pStyle w:val="ListBullet"/>
        <w:widowControl/>
      </w:pPr>
      <w:r>
        <w:rPr>
          <w:rFonts w:ascii="Carlito" w:hAnsi="Carlito" w:eastAsia="Carlito"/>
        </w:rPr>
        <w:t>техническое превышение установленного предела непринятия.</w:t>
      </w:r>
    </w:p>
    <w:p>
      <w:pPr>
        <w:widowControl/>
      </w:pPr>
      <w:r>
        <w:rPr>
          <w:rFonts w:ascii="Carlito" w:hAnsi="Carlito" w:eastAsia="Carlito"/>
        </w:rPr>
        <w:t>При выявлении признака кандидат получает точное уведомление и срок исправления. Если он не согласен, официально публикуются самоописание, конкретный спорный фрагмент и статус обжалования. До решения суда запрещается подменять это единым государственным толкованием политической позиции.</w:t>
      </w:r>
    </w:p>
    <w:p>
      <w:pPr>
        <w:pStyle w:val="Heading2"/>
        <w:keepNext/>
        <w:keepLines/>
        <w:widowControl/>
      </w:pPr>
      <w:r>
        <w:rPr>
          <w:rFonts w:ascii="Carlito" w:hAnsi="Carlito" w:eastAsia="Carlito"/>
        </w:rPr>
        <w:t>15. Сроки, фиксация и изменение</w:t>
      </w:r>
    </w:p>
    <w:p>
      <w:pPr>
        <w:widowControl/>
      </w:pPr>
      <w:r>
        <w:rPr>
          <w:rFonts w:ascii="Carlito" w:hAnsi="Carlito" w:eastAsia="Carlito"/>
        </w:rPr>
        <w:t>Первоначальная форма подаётся после сертификации общественного мандата и до основной стадии официального сравнения. Окончательный срок должен оставлять достаточное время для проверки, исправления, обжалования, перевода и изучения гражданами.</w:t>
      </w:r>
    </w:p>
    <w:p>
      <w:pPr>
        <w:widowControl/>
      </w:pPr>
      <w:r>
        <w:rPr>
          <w:rFonts w:ascii="Carlito" w:hAnsi="Carlito" w:eastAsia="Carlito"/>
        </w:rPr>
        <w:t>До окончательной фиксации кандидат вправе изменять позицию с сохранением всех версий. После фиксации содержательное изменение допускается только в отдельной новой версии с датой, объяснением и уведомлением. Первоначальная версия не удаляется и продолжает участвовать в послевыборной оценке политической последовательности.</w:t>
      </w:r>
    </w:p>
    <w:p>
      <w:pPr>
        <w:pStyle w:val="Heading2"/>
        <w:keepNext/>
        <w:keepLines/>
        <w:widowControl/>
      </w:pPr>
      <w:r>
        <w:rPr>
          <w:rFonts w:ascii="Carlito" w:hAnsi="Carlito" w:eastAsia="Carlito"/>
        </w:rPr>
        <w:t>16. Проверка источников и фактических утверждений</w:t>
      </w:r>
    </w:p>
    <w:p>
      <w:pPr>
        <w:widowControl/>
      </w:pPr>
      <w:r>
        <w:rPr>
          <w:rFonts w:ascii="Carlito" w:hAnsi="Carlito" w:eastAsia="Carlito"/>
        </w:rPr>
        <w:t>Кандидат обязан указывать источник проверяемого факта, если на нём основаны стоимость, срок, полномочие или условие. Оператор может установить, существует ли источник, соответствует ли цитата документу и актуальна ли дата.</w:t>
      </w:r>
    </w:p>
    <w:p>
      <w:pPr>
        <w:widowControl/>
      </w:pPr>
      <w:r>
        <w:rPr>
          <w:rFonts w:ascii="Carlito" w:hAnsi="Carlito" w:eastAsia="Carlito"/>
        </w:rPr>
        <w:t>Оператор не вправе объявлять ложным политический прогноз, научно спорную модель, ценностную оценку или добросовестную интерпретацию причинности. При существенном разногласии публикуются источник кандидата, альтернативные расчёты и право ответа.</w:t>
      </w:r>
    </w:p>
    <w:p>
      <w:pPr>
        <w:pStyle w:val="Heading2"/>
        <w:keepNext/>
        <w:keepLines/>
        <w:widowControl/>
      </w:pPr>
      <w:r>
        <w:rPr>
          <w:rFonts w:ascii="Carlito" w:hAnsi="Carlito" w:eastAsia="Carlito"/>
        </w:rPr>
        <w:t>17. Цифровая подпись, искусственный интеллект и ответственность автора</w:t>
      </w:r>
    </w:p>
    <w:p>
      <w:pPr>
        <w:widowControl/>
      </w:pPr>
      <w:r>
        <w:rPr>
          <w:rFonts w:ascii="Carlito" w:hAnsi="Carlito" w:eastAsia="Carlito"/>
        </w:rPr>
        <w:t>Декларация подтверждается самим кандидатом или прямо уполномоченным субъектом. Использование искусственного интеллекта, переводчика, юриста или аналитической системы допустимо, но не снимает ответственности за представленный текст.</w:t>
      </w:r>
    </w:p>
    <w:p>
      <w:pPr>
        <w:widowControl/>
      </w:pPr>
      <w:r>
        <w:rPr>
          <w:rFonts w:ascii="Carlito" w:hAnsi="Carlito" w:eastAsia="Carlito"/>
        </w:rPr>
        <w:t>Синтетическое видео или голос не заменяют юридического подтверждения. Любой автоматически сгенерированный материал, используемый в официальном контуре, маркируется и сохраняет ссылку на подписанный текст.</w:t>
      </w:r>
    </w:p>
    <w:p>
      <w:pPr>
        <w:pStyle w:val="Heading2"/>
        <w:keepNext/>
        <w:widowControl/>
      </w:pPr>
      <w:r>
        <w:t>18. Универсальный минимальный режим кандидатской декларации</w:t>
      </w:r>
    </w:p>
    <w:p>
      <w:pPr>
        <w:widowControl/>
      </w:pPr>
      <w:r>
        <w:t>Универсальный минимальный режим требует публичного отношения к мандату: полной декларации либо подписанного отказа от декларационного контура. Только полная декларация участвует в формальном счёте; ограниченный предел непринятия определяет статус присоединения к общественному мандату и не является универсальным основанием отказа в регистрации.</w:t>
      </w:r>
    </w:p>
    <w:p>
      <w:pPr>
        <w:widowControl/>
      </w:pPr>
      <w:r>
        <w:t>Для подсчёта используются объективные структурные категории: безусловное принятие; условная позиция; альтернатива; непринятие; отсутствие ответа. Кандидат сохраняет собственное политическое самоописание, но оно не меняет формальный счёт.</w:t>
      </w:r>
    </w:p>
    <w:p>
      <w:pPr>
        <w:widowControl/>
      </w:pPr>
      <w:r>
        <w:t>Любое условие должно быть измеримым, внешним и иметь заранее названного определителя. Альтернатива не засчитывается как безусловное принятие и показывается в сравнительной таблице цели, охвата, срока, стоимости, правового эффекта и распределительных последствий.</w:t>
      </w:r>
    </w:p>
    <w:p>
      <w:pPr>
        <w:widowControl/>
      </w:pPr>
      <w:r>
        <w:t>Кандидат получает бесплатные одинаковые исходные данные, нейтральную техническую помощь и минимальную короткую форму. Обязательная платная экспертиза запрещается.</w:t>
      </w:r>
    </w:p>
    <w:p>
      <w:pPr>
        <w:widowControl/>
      </w:pPr>
      <w:r>
        <w:t>Кандидат вправе представить дополнительные стратегические приоритеты в равном официальном разделе. Коллективный бойкот деклараций не останавливает выборы: публикуется факт бойкота без вывода вымышленных позиций и без замены кандидатов.</w:t>
      </w:r>
    </w:p>
    <w:p>
      <w:pPr>
        <w:pStyle w:val="Heading2"/>
        <w:keepNext/>
        <w:keepLines/>
        <w:widowControl/>
      </w:pPr>
      <w:r>
        <w:rPr>
          <w:rFonts w:ascii="Carlito" w:hAnsi="Carlito" w:eastAsia="Carlito"/>
        </w:rPr>
        <w:t>19. Контроль, обжалование и ответственность</w:t>
      </w:r>
    </w:p>
    <w:p>
      <w:pPr>
        <w:widowControl/>
      </w:pPr>
      <w:r>
        <w:rPr>
          <w:rFonts w:ascii="Carlito" w:hAnsi="Carlito" w:eastAsia="Carlito"/>
        </w:rPr>
        <w:t>Кандидат вправе обжаловать технический отказ, публикационную ошибку, неравный срок, неверный перевод, несоответствие карточки полному тексту, ошибочное указание формального признака и нарушение порядка отображения.</w:t>
      </w:r>
    </w:p>
    <w:p>
      <w:pPr>
        <w:widowControl/>
      </w:pPr>
      <w:r>
        <w:rPr>
          <w:rFonts w:ascii="Carlito" w:hAnsi="Carlito" w:eastAsia="Carlito"/>
        </w:rPr>
        <w:t>Гражданин и иной кандидат вправе сообщить о подделке, отсутствующей версии, скрытом изменении, объективно неверной ссылке, неравном доступе или несоблюдении установленного предела. Спор разрешается в едином ускоренном окне до момента, когда исправление теряет практический смысл.</w:t>
      </w:r>
    </w:p>
    <w:p>
      <w:pPr>
        <w:widowControl/>
      </w:pPr>
      <w:r>
        <w:rPr>
          <w:rFonts w:ascii="Carlito" w:hAnsi="Carlito" w:eastAsia="Carlito"/>
        </w:rPr>
        <w:t>Юридическая ответственность допускается за подделку подписи, сокрытие обязательной версии, представление заведомо несуществующего документа, коррупцию, незаконное финансирование, нарушение срока после надлежащего уведомления и сознательное техническое искажение формы. Добросовестный политический прогноз или изменение мнения не являются правонарушением.</w:t>
      </w:r>
    </w:p>
    <w:p>
      <w:pPr>
        <w:pStyle w:val="Heading2"/>
        <w:keepNext/>
        <w:keepLines/>
        <w:widowControl/>
      </w:pPr>
      <w:r>
        <w:rPr>
          <w:rFonts w:ascii="Carlito" w:hAnsi="Carlito" w:eastAsia="Carlito"/>
        </w:rPr>
        <w:t>20. Специальные и чрезвычайные случаи</w:t>
      </w:r>
    </w:p>
    <w:p>
      <w:pPr>
        <w:pStyle w:val="ListBullet"/>
        <w:widowControl/>
      </w:pPr>
      <w:r>
        <w:rPr>
          <w:rFonts w:ascii="Carlito" w:hAnsi="Carlito" w:eastAsia="Carlito"/>
        </w:rPr>
        <w:t>при смерти, выбытии или утрате статуса кандидата декларация архивируется и исключается из текущего сравнения с ясной датой;</w:t>
      </w:r>
    </w:p>
    <w:p>
      <w:pPr>
        <w:pStyle w:val="ListBullet"/>
        <w:widowControl/>
      </w:pPr>
      <w:r>
        <w:rPr>
          <w:rFonts w:ascii="Carlito" w:hAnsi="Carlito" w:eastAsia="Carlito"/>
        </w:rPr>
        <w:t>при замене лидера партии новая декларация подаётся в установленный срок, а прежняя сохраняется;</w:t>
      </w:r>
    </w:p>
    <w:p>
      <w:pPr>
        <w:pStyle w:val="ListBullet"/>
        <w:widowControl/>
      </w:pPr>
      <w:r>
        <w:rPr>
          <w:rFonts w:ascii="Carlito" w:hAnsi="Carlito" w:eastAsia="Carlito"/>
        </w:rPr>
        <w:t>при чрезвычайной ситуации срок может быть продлён одинаково для всех; выборочное продление запрещено;</w:t>
      </w:r>
    </w:p>
    <w:p>
      <w:pPr>
        <w:pStyle w:val="ListBullet"/>
        <w:widowControl/>
      </w:pPr>
      <w:r>
        <w:rPr>
          <w:rFonts w:ascii="Carlito" w:hAnsi="Carlito" w:eastAsia="Carlito"/>
        </w:rPr>
        <w:t>при недоступности цифрового канала действует офлайн-подача и независимая фиксация времени;</w:t>
      </w:r>
    </w:p>
    <w:p>
      <w:pPr>
        <w:pStyle w:val="ListBullet"/>
        <w:widowControl/>
      </w:pPr>
      <w:r>
        <w:rPr>
          <w:rFonts w:ascii="Carlito" w:hAnsi="Carlito" w:eastAsia="Carlito"/>
        </w:rPr>
        <w:t>при судебной отмене пункта общественного мандата ответы по нему сохраняются в архиве, но не учитываются в пределе непринятия;</w:t>
      </w:r>
    </w:p>
    <w:p>
      <w:pPr>
        <w:pStyle w:val="ListBullet"/>
        <w:widowControl/>
      </w:pPr>
      <w:r>
        <w:rPr>
          <w:rFonts w:ascii="Carlito" w:hAnsi="Carlito" w:eastAsia="Carlito"/>
        </w:rPr>
        <w:t>при существенном изменении официального текста мандата после подачи кандидаты получают новый равный срок и право подтвердить либо изменить позицию.</w:t>
      </w:r>
    </w:p>
    <w:p>
      <w:pPr>
        <w:pStyle w:val="Heading2"/>
        <w:keepNext/>
        <w:keepLines/>
        <w:widowControl/>
      </w:pPr>
      <w:r>
        <w:rPr>
          <w:rFonts w:ascii="Carlito" w:hAnsi="Carlito" w:eastAsia="Carlito"/>
        </w:rPr>
        <w:t>21. Наиболее сильные возражения и встроенные ответы</w:t>
      </w:r>
    </w:p>
    <w:p>
      <w:pPr>
        <w:pStyle w:val="Heading3"/>
        <w:keepNext/>
        <w:keepLines/>
        <w:widowControl/>
      </w:pPr>
      <w:r>
        <w:rPr>
          <w:rFonts w:ascii="Carlito" w:hAnsi="Carlito" w:eastAsia="Carlito"/>
        </w:rPr>
        <w:t>21.1. «Обязанность ответить всё равно ограничивает свободу кандидата»</w:t>
      </w:r>
    </w:p>
    <w:p>
      <w:pPr>
        <w:widowControl/>
      </w:pPr>
      <w:r>
        <w:rPr>
          <w:rFonts w:ascii="Carlito" w:hAnsi="Carlito" w:eastAsia="Carlito"/>
        </w:rPr>
        <w:t>Ограничивается не свобода содержания, а обязанность сделать видимым само отношение к общественно утверждённому перечню. Кандидат сохраняет право на поэлементный отказ, альтернативу, подписанный отказ от декларационного контура, собственную программу и судебную защиту. Соразмерность любого более сильного последствия проверяется национальной Конституцией.</w:t>
      </w:r>
    </w:p>
    <w:p>
      <w:pPr>
        <w:pStyle w:val="Heading3"/>
        <w:keepNext/>
        <w:keepLines/>
        <w:widowControl/>
      </w:pPr>
      <w:r>
        <w:rPr>
          <w:rFonts w:ascii="Carlito" w:hAnsi="Carlito" w:eastAsia="Carlito"/>
        </w:rPr>
        <w:t>21.2. «Предел непринятия заставит кандидата лгать»</w:t>
      </w:r>
    </w:p>
    <w:p>
      <w:pPr>
        <w:widowControl/>
      </w:pPr>
      <w:r>
        <w:rPr>
          <w:rFonts w:ascii="Carlito" w:hAnsi="Carlito" w:eastAsia="Carlito"/>
        </w:rPr>
        <w:t>Система не объявляет формальное принятие доказательством искренности. Она требует подписанной позиции, полной версии, условий, зависимостей и последующего следа. Ложное принятие увеличивает политическую, а не специальную уголовную ответственность.</w:t>
      </w:r>
    </w:p>
    <w:p>
      <w:pPr>
        <w:pStyle w:val="Heading3"/>
        <w:keepNext/>
        <w:keepLines/>
        <w:widowControl/>
      </w:pPr>
      <w:r>
        <w:rPr>
          <w:rFonts w:ascii="Carlito" w:hAnsi="Carlito" w:eastAsia="Carlito"/>
        </w:rPr>
        <w:t>21.3. «Самоопределение позволит назвать отказ принятием»</w:t>
      </w:r>
    </w:p>
    <w:p>
      <w:pPr>
        <w:widowControl/>
      </w:pPr>
      <w:r>
        <w:rPr>
          <w:rFonts w:ascii="Carlito" w:hAnsi="Carlito" w:eastAsia="Carlito"/>
        </w:rPr>
        <w:t>Закрытые формальные признаки позволяют выявить прямое условие, замену цели или неполноту без оценки политической целесообразности. В сложном случае публикуется спор, а не единая государственная истина.</w:t>
      </w:r>
    </w:p>
    <w:p>
      <w:pPr>
        <w:pStyle w:val="Heading3"/>
        <w:keepNext/>
        <w:keepLines/>
        <w:widowControl/>
      </w:pPr>
      <w:r>
        <w:rPr>
          <w:rFonts w:ascii="Carlito" w:hAnsi="Carlito" w:eastAsia="Carlito"/>
        </w:rPr>
        <w:t>21.4. «Альтернативы уничтожат общественный мандат»</w:t>
      </w:r>
    </w:p>
    <w:p>
      <w:pPr>
        <w:widowControl/>
      </w:pPr>
      <w:r>
        <w:rPr>
          <w:rFonts w:ascii="Carlito" w:hAnsi="Carlito" w:eastAsia="Carlito"/>
        </w:rPr>
        <w:t>Альтернатива не изменяет исходный текст и не считается его принятием. Оба документа остаются рядом, а доля альтернатив ограничивается заранее.</w:t>
      </w:r>
    </w:p>
    <w:p>
      <w:pPr>
        <w:pStyle w:val="Heading3"/>
        <w:keepNext/>
        <w:keepLines/>
        <w:widowControl/>
      </w:pPr>
      <w:r>
        <w:rPr>
          <w:rFonts w:ascii="Carlito" w:hAnsi="Carlito" w:eastAsia="Carlito"/>
        </w:rPr>
        <w:t>21.5. «Декларации будут слишком длинными»</w:t>
      </w:r>
    </w:p>
    <w:p>
      <w:pPr>
        <w:widowControl/>
      </w:pPr>
      <w:r>
        <w:rPr>
          <w:rFonts w:ascii="Carlito" w:hAnsi="Carlito" w:eastAsia="Carlito"/>
        </w:rPr>
        <w:t>Краткая карточка служит навигацией, но не заменяет полный текст. Число пунктов ограничено на предыдущих стадиях, а интерфейс позволяет раскрывать детали по желанию гражданина.</w:t>
      </w:r>
    </w:p>
    <w:p>
      <w:pPr>
        <w:pStyle w:val="Heading2"/>
        <w:keepNext/>
        <w:keepLines/>
        <w:widowControl/>
      </w:pPr>
      <w:r>
        <w:rPr>
          <w:rFonts w:ascii="Carlito" w:hAnsi="Carlito" w:eastAsia="Carlito"/>
        </w:rPr>
        <w:t>22. Связь с другими главами и вывод</w:t>
      </w:r>
    </w:p>
    <w:p>
      <w:pPr>
        <w:widowControl/>
      </w:pPr>
      <w:r>
        <w:rPr>
          <w:rFonts w:ascii="Carlito" w:hAnsi="Carlito" w:eastAsia="Carlito"/>
        </w:rPr>
        <w:t>Глава применяется вместе с главами V о правовой природе обязательности, VI о компетенции, IX о защите от захвата, XIX об общественном мандате, XXI о толковании позиции, XXII об официальном информировании, XXIII о последствиях избрания и XXXIV–XXXVII о финансировании кампаний, информационной безопасности и политической приватности.</w:t>
      </w:r>
    </w:p>
    <w:p>
      <w:pPr>
        <w:pStyle w:val="DoctrineQuote"/>
        <w:widowControl/>
      </w:pPr>
      <w:r>
        <w:rPr>
          <w:rFonts w:ascii="Carlito" w:hAnsi="Carlito" w:eastAsia="Carlito"/>
          <w:i/>
        </w:rPr>
        <w:t>Декларация выполняет свою функцию только тогда, когда гражданин видит исходный пункт, полный ответ кандидата, условия, зависимости и историю версии — и когда ни один государственный орган не может заменить этот набор собственным политическим ярлыком.</w:t>
      </w:r>
    </w:p>
    <w:p>
      <w:pPr>
        <w:widowControl/>
      </w:pPr>
      <w:r>
        <w:rPr>
          <w:rFonts w:ascii="Carlito" w:hAnsi="Carlito" w:eastAsia="Carlito"/>
        </w:rPr>
        <w:br w:type="page"/>
      </w:r>
    </w:p>
    <w:p>
      <w:pPr>
        <w:pStyle w:val="Heading1"/>
        <w:keepNext/>
        <w:keepLines/>
        <w:pageBreakBefore/>
        <w:spacing w:before="0" w:after="160"/>
        <w:widowControl/>
        <w:pBdr>
          <w:bottom w:val="single" w:sz="5" w:space="4" w:color="B4C6E7"/>
        </w:pBdr>
      </w:pPr>
      <w:r>
        <w:rPr>
          <w:rFonts w:ascii="Carlito" w:hAnsi="Carlito" w:eastAsia="Carlito"/>
        </w:rPr>
        <w:t>Глава XXI. Формы позиции кандидата и пределы их официального толкования</w:t>
      </w:r>
    </w:p>
    <w:p>
      <w:pPr>
        <w:pStyle w:val="Heading2"/>
        <w:keepNext/>
        <w:keepLines/>
        <w:widowControl/>
      </w:pPr>
      <w:r>
        <w:rPr>
          <w:rFonts w:ascii="Carlito" w:hAnsi="Carlito" w:eastAsia="Carlito"/>
        </w:rPr>
        <w:t>1. Предмет и цель главы</w:t>
      </w:r>
    </w:p>
    <w:p>
      <w:pPr>
        <w:widowControl/>
      </w:pPr>
      <w:r>
        <w:rPr>
          <w:rFonts w:ascii="Carlito" w:hAnsi="Carlito" w:eastAsia="Carlito"/>
        </w:rPr>
        <w:t>Настоящая глава устанавливает иерархию источников смысла декларации, пределы формальной проверки, правила разрешения противоречий, режим условий и альтернатив, права кандидата и гражданина, а также границы судебного контроля.</w:t>
      </w:r>
    </w:p>
    <w:p>
      <w:pPr>
        <w:widowControl/>
      </w:pPr>
      <w:r>
        <w:rPr>
          <w:rFonts w:ascii="Carlito" w:hAnsi="Carlito" w:eastAsia="Carlito"/>
        </w:rPr>
        <w:t>Цель главы — сделать позиции сопоставимыми, не создавая государственного органа, который окончательно определяет политический смысл высказывания.</w:t>
      </w:r>
    </w:p>
    <w:p>
      <w:pPr>
        <w:pStyle w:val="Heading2"/>
        <w:keepNext/>
        <w:keepLines/>
        <w:widowControl/>
      </w:pPr>
      <w:r>
        <w:rPr>
          <w:rFonts w:ascii="Carlito" w:hAnsi="Carlito" w:eastAsia="Carlito"/>
        </w:rPr>
        <w:t>2. Иерархия источников смысла</w:t>
      </w:r>
    </w:p>
    <w:tbl>
      <w:tblPr>
        <w:tblStyle w:val="TableGrid"/>
        <w:tblW w:type="auto" w:w="0"/>
        <w:jc w:val="center"/>
        <w:tblLook w:firstColumn="1" w:firstRow="1" w:lastColumn="0" w:lastRow="0" w:noHBand="0" w:noVBand="1" w:val="04A0"/>
      </w:tblPr>
      <w:tblGrid>
        <w:gridCol w:w="2416"/>
        <w:gridCol w:w="2416"/>
        <w:gridCol w:w="2416"/>
        <w:gridCol w:w="2416"/>
      </w:tblGrid>
      <w:tr>
        <w:trPr>
          <w:tblHeader w:val="true"/>
          <w:cantSplit/>
          <w:cantSplit/>
          <w:tblHeader w:val="true"/>
        </w:trPr>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Приоритет</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Источник</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Функция</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Ограничение</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1</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Неизменённый полный текст кандидата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Основной источник политической позиции</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 может быть сокращён или исправлен оператором</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2</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Подписанные структурированные поля</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Показывают категорию, полномочия, условие, срок и зависимости</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Не заменяют полный текст при расхождении</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3</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Краткая карточка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Навигационное и сравнительное представление</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Должна содержать ссылку на полный текст и дату</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4</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Формальная отметка оператора</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Сообщает о неполноте, версии, объективном условии или техническом споре</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Не является политическим вердиктом</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5</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Экспертные и независимые оценки</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Раскрывают стоимость, риски и альтернативные интерпретации</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 получают монополии и официальной финальности</w:t>
            </w:r>
          </w:p>
        </w:tc>
      </w:tr>
    </w:tbl>
    <w:p>
      <w:pPr>
        <w:widowControl/>
      </w:pPr>
    </w:p>
    <w:p>
      <w:pPr>
        <w:pStyle w:val="Heading2"/>
        <w:keepNext/>
        <w:keepLines/>
        <w:widowControl/>
      </w:pPr>
      <w:r>
        <w:rPr>
          <w:rFonts w:ascii="Carlito" w:hAnsi="Carlito" w:eastAsia="Carlito"/>
        </w:rPr>
        <w:t>3. Принцип самоописания кандидата</w:t>
      </w:r>
    </w:p>
    <w:p>
      <w:pPr>
        <w:widowControl/>
      </w:pPr>
      <w:r>
        <w:rPr>
          <w:rFonts w:ascii="Carlito" w:hAnsi="Carlito" w:eastAsia="Carlito"/>
        </w:rPr>
        <w:t>Официальная система начинает с выбранной кандидатом формы позиции. Самоописание публикуется без изменения. Если структурированный текст содержит формальный признак другой формы, это отображается отдельной нейтральной строкой, а не заменяет самоописание.</w:t>
      </w:r>
    </w:p>
    <w:p>
      <w:pPr>
        <w:pStyle w:val="DoctrineQuote"/>
        <w:widowControl/>
      </w:pPr>
      <w:r>
        <w:rPr>
          <w:rFonts w:ascii="Carlito" w:hAnsi="Carlito" w:eastAsia="Carlito"/>
          <w:i/>
        </w:rPr>
        <w:t>Кандидат говорит: «как я определяю свою позицию». Оператор говорит: «какие формальные элементы присутствуют в тексте». Избиратель решает: «что эта позиция означает политически».</w:t>
      </w:r>
    </w:p>
    <w:p>
      <w:pPr>
        <w:pStyle w:val="Heading2"/>
        <w:keepNext/>
        <w:keepLines/>
        <w:widowControl/>
      </w:pPr>
      <w:r>
        <w:rPr>
          <w:rFonts w:ascii="Carlito" w:hAnsi="Carlito" w:eastAsia="Carlito"/>
        </w:rPr>
        <w:t>4. Допустимый предмет формальной проверки</w:t>
      </w:r>
    </w:p>
    <w:p>
      <w:pPr>
        <w:pStyle w:val="ListBullet"/>
        <w:widowControl/>
      </w:pPr>
      <w:r>
        <w:rPr>
          <w:rFonts w:ascii="Carlito" w:hAnsi="Carlito" w:eastAsia="Carlito"/>
        </w:rPr>
        <w:t>полнота обязательных полей и наличие подписи;</w:t>
      </w:r>
    </w:p>
    <w:p>
      <w:pPr>
        <w:pStyle w:val="ListBullet"/>
        <w:widowControl/>
      </w:pPr>
      <w:r>
        <w:rPr>
          <w:rFonts w:ascii="Carlito" w:hAnsi="Carlito" w:eastAsia="Carlito"/>
        </w:rPr>
        <w:t>соответствие версии сертифицированному общественному пункту;</w:t>
      </w:r>
    </w:p>
    <w:p>
      <w:pPr>
        <w:pStyle w:val="ListBullet"/>
        <w:widowControl/>
      </w:pPr>
      <w:r>
        <w:rPr>
          <w:rFonts w:ascii="Carlito" w:hAnsi="Carlito" w:eastAsia="Carlito"/>
        </w:rPr>
        <w:t>наличие прямо сформулированного условия, альтернативы или отказа;</w:t>
      </w:r>
    </w:p>
    <w:p>
      <w:pPr>
        <w:pStyle w:val="ListBullet"/>
        <w:widowControl/>
      </w:pPr>
      <w:r>
        <w:rPr>
          <w:rFonts w:ascii="Carlito" w:hAnsi="Carlito" w:eastAsia="Carlito"/>
        </w:rPr>
        <w:t>измеримость и внешний определитель условия;</w:t>
      </w:r>
    </w:p>
    <w:p>
      <w:pPr>
        <w:pStyle w:val="ListBullet"/>
        <w:widowControl/>
      </w:pPr>
      <w:r>
        <w:rPr>
          <w:rFonts w:ascii="Carlito" w:hAnsi="Carlito" w:eastAsia="Carlito"/>
        </w:rPr>
        <w:t>наличие сопоставимых полей альтернативы;</w:t>
      </w:r>
    </w:p>
    <w:p>
      <w:pPr>
        <w:pStyle w:val="ListBullet"/>
        <w:widowControl/>
      </w:pPr>
      <w:r>
        <w:rPr>
          <w:rFonts w:ascii="Carlito" w:hAnsi="Carlito" w:eastAsia="Carlito"/>
        </w:rPr>
        <w:t>соответствие краткой карточки полному тексту;</w:t>
      </w:r>
    </w:p>
    <w:p>
      <w:pPr>
        <w:pStyle w:val="ListBullet"/>
        <w:widowControl/>
      </w:pPr>
      <w:r>
        <w:rPr>
          <w:rFonts w:ascii="Carlito" w:hAnsi="Carlito" w:eastAsia="Carlito"/>
        </w:rPr>
        <w:t>соблюдение лимитов объёма и срока;</w:t>
      </w:r>
    </w:p>
    <w:p>
      <w:pPr>
        <w:pStyle w:val="ListBullet"/>
        <w:widowControl/>
      </w:pPr>
      <w:r>
        <w:rPr>
          <w:rFonts w:ascii="Carlito" w:hAnsi="Carlito" w:eastAsia="Carlito"/>
        </w:rPr>
        <w:t>существование указанного официального документа или статистического набора;</w:t>
      </w:r>
    </w:p>
    <w:p>
      <w:pPr>
        <w:pStyle w:val="ListBullet"/>
        <w:widowControl/>
      </w:pPr>
      <w:r>
        <w:rPr>
          <w:rFonts w:ascii="Carlito" w:hAnsi="Carlito" w:eastAsia="Carlito"/>
        </w:rPr>
        <w:t>наличие конфликта интересов у привлечённого официального эксперта;</w:t>
      </w:r>
    </w:p>
    <w:p>
      <w:pPr>
        <w:pStyle w:val="ListBullet"/>
        <w:widowControl/>
      </w:pPr>
      <w:r>
        <w:rPr>
          <w:rFonts w:ascii="Carlito" w:hAnsi="Carlito" w:eastAsia="Carlito"/>
        </w:rPr>
        <w:t>доступность перевода и техническая идентичность опубликованных версий.</w:t>
      </w:r>
    </w:p>
    <w:p>
      <w:pPr>
        <w:pStyle w:val="Heading2"/>
        <w:keepNext/>
        <w:keepLines/>
        <w:widowControl/>
      </w:pPr>
      <w:r>
        <w:rPr>
          <w:rFonts w:ascii="Carlito" w:hAnsi="Carlito" w:eastAsia="Carlito"/>
        </w:rPr>
        <w:t>5. Запрещённый предмет официального толкования</w:t>
      </w:r>
    </w:p>
    <w:p>
      <w:pPr>
        <w:pStyle w:val="ListBullet"/>
        <w:widowControl/>
      </w:pPr>
      <w:r>
        <w:rPr>
          <w:rFonts w:ascii="Carlito" w:hAnsi="Carlito" w:eastAsia="Carlito"/>
        </w:rPr>
        <w:t>искренность политического убеждения;</w:t>
      </w:r>
    </w:p>
    <w:p>
      <w:pPr>
        <w:pStyle w:val="ListBullet"/>
        <w:widowControl/>
      </w:pPr>
      <w:r>
        <w:rPr>
          <w:rFonts w:ascii="Carlito" w:hAnsi="Carlito" w:eastAsia="Carlito"/>
        </w:rPr>
        <w:t>моральная правильность согласия или отказа;</w:t>
      </w:r>
    </w:p>
    <w:p>
      <w:pPr>
        <w:pStyle w:val="ListBullet"/>
        <w:widowControl/>
      </w:pPr>
      <w:r>
        <w:rPr>
          <w:rFonts w:ascii="Carlito" w:hAnsi="Carlito" w:eastAsia="Carlito"/>
        </w:rPr>
        <w:t>экономическая привлекательность альтернативы;</w:t>
      </w:r>
    </w:p>
    <w:p>
      <w:pPr>
        <w:pStyle w:val="ListBullet"/>
        <w:widowControl/>
      </w:pPr>
      <w:r>
        <w:rPr>
          <w:rFonts w:ascii="Carlito" w:hAnsi="Carlito" w:eastAsia="Carlito"/>
        </w:rPr>
        <w:t>вероятность политического успеха как окончательный факт;</w:t>
      </w:r>
    </w:p>
    <w:p>
      <w:pPr>
        <w:pStyle w:val="ListBullet"/>
        <w:widowControl/>
      </w:pPr>
      <w:r>
        <w:rPr>
          <w:rFonts w:ascii="Carlito" w:hAnsi="Carlito" w:eastAsia="Carlito"/>
        </w:rPr>
        <w:t>идеологическая принадлежность ответа;</w:t>
      </w:r>
    </w:p>
    <w:p>
      <w:pPr>
        <w:pStyle w:val="ListBullet"/>
        <w:widowControl/>
      </w:pPr>
      <w:r>
        <w:rPr>
          <w:rFonts w:ascii="Carlito" w:hAnsi="Carlito" w:eastAsia="Carlito"/>
        </w:rPr>
        <w:t>достаточность амбиций кандидата;</w:t>
      </w:r>
    </w:p>
    <w:p>
      <w:pPr>
        <w:pStyle w:val="ListBullet"/>
        <w:widowControl/>
      </w:pPr>
      <w:r>
        <w:rPr>
          <w:rFonts w:ascii="Carlito" w:hAnsi="Carlito" w:eastAsia="Carlito"/>
        </w:rPr>
        <w:t>«народность», «патриотичность» или «антиобщественный» характер позиции;</w:t>
      </w:r>
    </w:p>
    <w:p>
      <w:pPr>
        <w:pStyle w:val="ListBullet"/>
        <w:widowControl/>
      </w:pPr>
      <w:r>
        <w:rPr>
          <w:rFonts w:ascii="Carlito" w:hAnsi="Carlito" w:eastAsia="Carlito"/>
        </w:rPr>
        <w:t>оценка того, заслуживает ли кандидат избрания;</w:t>
      </w:r>
    </w:p>
    <w:p>
      <w:pPr>
        <w:pStyle w:val="ListBullet"/>
        <w:widowControl/>
      </w:pPr>
      <w:r>
        <w:rPr>
          <w:rFonts w:ascii="Carlito" w:hAnsi="Carlito" w:eastAsia="Carlito"/>
        </w:rPr>
        <w:t>превращение экспертного диапазона в официальный прогноз будущего.</w:t>
      </w:r>
    </w:p>
    <w:p>
      <w:pPr>
        <w:pStyle w:val="Heading2"/>
        <w:keepNext/>
        <w:keepLines/>
        <w:widowControl/>
      </w:pPr>
      <w:r>
        <w:rPr>
          <w:rFonts w:ascii="Carlito" w:hAnsi="Carlito" w:eastAsia="Carlito"/>
        </w:rPr>
        <w:t>6. Объективное противоречие категории и текста</w:t>
      </w:r>
    </w:p>
    <w:p>
      <w:pPr>
        <w:widowControl/>
      </w:pPr>
      <w:r>
        <w:rPr>
          <w:rFonts w:ascii="Carlito" w:hAnsi="Carlito" w:eastAsia="Carlito"/>
        </w:rPr>
        <w:t>Объективным считается только такое противоречие, которое устанавливается из прямой формулировки без выбора между конкурирующими политическими теориями. Примеры: выбран КП-1, но текст содержит «не буду реализовывать пункт»; выбран КП-2, но условие определяется самим кандидатом; выбран КП-3, но отсутствует описание альтернативы; выбран КП-4, но текст прямо сообщает о полном принятии.</w:t>
      </w:r>
    </w:p>
    <w:p>
      <w:pPr>
        <w:widowControl/>
      </w:pPr>
      <w:r>
        <w:rPr>
          <w:rFonts w:ascii="Carlito" w:hAnsi="Carlito" w:eastAsia="Carlito"/>
        </w:rPr>
        <w:t>При споре оператор не изменяет категорию окончательно. Он предлагает исправление, публикует точный фрагмент, ответ кандидата и отметку «формальная квалификация оспаривается». Суд может установить соответствие закрытому правилу, но не оценивать политическую разумность позиции.</w:t>
      </w:r>
    </w:p>
    <w:p>
      <w:pPr>
        <w:pStyle w:val="Heading2"/>
        <w:keepNext/>
        <w:keepLines/>
        <w:widowControl/>
      </w:pPr>
      <w:r>
        <w:rPr>
          <w:rFonts w:ascii="Carlito" w:hAnsi="Carlito" w:eastAsia="Carlito"/>
        </w:rPr>
        <w:t>7. Сложные и составные позиции</w:t>
      </w:r>
    </w:p>
    <w:p>
      <w:pPr>
        <w:widowControl/>
      </w:pPr>
      <w:r>
        <w:rPr>
          <w:rFonts w:ascii="Carlito" w:hAnsi="Carlito" w:eastAsia="Carlito"/>
        </w:rPr>
        <w:t>Если кандидат принимает часть пункта и отвергает другую, позиция отображается как составная. Карточка перечисляет элементы отдельно и не сворачивает их в наиболее выгодную для любой стороны категорию.</w:t>
      </w:r>
    </w:p>
    <w:p>
      <w:pPr>
        <w:widowControl/>
      </w:pPr>
      <w:r>
        <w:rPr>
          <w:rFonts w:ascii="Carlito" w:hAnsi="Carlito" w:eastAsia="Carlito"/>
        </w:rPr>
        <w:t>Если цель принимается, но предлагается существенно меньший охват, более поздний срок или иной правовой эффект, это является альтернативой либо частичным принятием, а не полным принятием. Различие отображается механически через сравнительные поля.</w:t>
      </w:r>
    </w:p>
    <w:p>
      <w:pPr>
        <w:pStyle w:val="Heading2"/>
        <w:keepNext/>
        <w:keepLines/>
        <w:widowControl/>
      </w:pPr>
      <w:r>
        <w:rPr>
          <w:rFonts w:ascii="Carlito" w:hAnsi="Carlito" w:eastAsia="Carlito"/>
        </w:rPr>
        <w:t>8. Условия и момент их наступления</w:t>
      </w:r>
    </w:p>
    <w:p>
      <w:pPr>
        <w:widowControl/>
      </w:pPr>
      <w:r>
        <w:rPr>
          <w:rFonts w:ascii="Carlito" w:hAnsi="Carlito" w:eastAsia="Carlito"/>
        </w:rPr>
        <w:t>Для каждого условия заранее указываются: событие; источник данных; порог; дата проверки; субъект, публикующий факт; порядок оспаривания; режим частичного наступления; действия кандидата, необходимые до наступления условия.</w:t>
      </w:r>
    </w:p>
    <w:p>
      <w:pPr>
        <w:widowControl/>
      </w:pPr>
      <w:r>
        <w:rPr>
          <w:rFonts w:ascii="Carlito" w:hAnsi="Carlito" w:eastAsia="Carlito"/>
        </w:rPr>
        <w:t>Избранный субъект не вправе препятствовать наступлению условия, которое он сам принял, и затем ссылаться на его ненаступление. При наличии доказанного препятствования публикуется отдельное заключение о собственных действиях, но это не заменяет обычную юридическую процедуру установления нарушения.</w:t>
      </w:r>
    </w:p>
    <w:p>
      <w:pPr>
        <w:pStyle w:val="Heading2"/>
        <w:keepNext/>
        <w:keepLines/>
        <w:widowControl/>
      </w:pPr>
      <w:r>
        <w:rPr>
          <w:rFonts w:ascii="Carlito" w:hAnsi="Carlito" w:eastAsia="Carlito"/>
        </w:rPr>
        <w:t>9. Альтернатива и отсутствие официальной эквивалентности</w:t>
      </w:r>
    </w:p>
    <w:p>
      <w:pPr>
        <w:widowControl/>
      </w:pPr>
      <w:r>
        <w:rPr>
          <w:rFonts w:ascii="Carlito" w:hAnsi="Carlito" w:eastAsia="Carlito"/>
        </w:rPr>
        <w:t>Ни комиссия, ни суд не устанавливают единственную политическую эквивалентность альтернативы общественному пункту. Эксперты могут публиковать несколько сценариев и прямо расходиться. Официальная система обязана показать различия, а не вынести итоговый вердикт «равноценно» или «неравноценно».</w:t>
      </w:r>
    </w:p>
    <w:p>
      <w:pPr>
        <w:widowControl/>
      </w:pPr>
      <w:r>
        <w:rPr>
          <w:rFonts w:ascii="Carlito" w:hAnsi="Carlito" w:eastAsia="Carlito"/>
        </w:rPr>
        <w:t>Если национальный закон для конкретного юридического эффекта требует установить эквивалентность, такое решение принимается вне Доктрины компетентным органом по обычной процедуре и не переписывает исходную декларацию.</w:t>
      </w:r>
    </w:p>
    <w:p>
      <w:pPr>
        <w:pStyle w:val="Heading2"/>
        <w:keepNext/>
        <w:keepLines/>
        <w:widowControl/>
      </w:pPr>
      <w:r>
        <w:rPr>
          <w:rFonts w:ascii="Carlito" w:hAnsi="Carlito" w:eastAsia="Carlito"/>
        </w:rPr>
        <w:t>10. Изменение позиции в кампании</w:t>
      </w:r>
    </w:p>
    <w:p>
      <w:pPr>
        <w:widowControl/>
      </w:pPr>
      <w:r>
        <w:rPr>
          <w:rFonts w:ascii="Carlito" w:hAnsi="Carlito" w:eastAsia="Carlito"/>
        </w:rPr>
        <w:t>Заявление кандидата в дебатах, рекламе или интервью не изменяет декларацию автоматически. Кандидат вправе подать новую подписанную версию. До этого официальный профиль показывает расхождение между декларацией и публичным заявлением с источником, датой и правом кандидата на объяснение.</w:t>
      </w:r>
    </w:p>
    <w:p>
      <w:pPr>
        <w:widowControl/>
      </w:pPr>
      <w:r>
        <w:rPr>
          <w:rFonts w:ascii="Carlito" w:hAnsi="Carlito" w:eastAsia="Carlito"/>
        </w:rPr>
        <w:t>Оператор не выбирает «истинную» позицию. Он сохраняет обе записи и сообщает, какая версия имеет официальный статус для текущего цикла.</w:t>
      </w:r>
    </w:p>
    <w:p>
      <w:pPr>
        <w:pStyle w:val="Heading2"/>
        <w:keepNext/>
        <w:keepLines/>
        <w:widowControl/>
      </w:pPr>
      <w:r>
        <w:rPr>
          <w:rFonts w:ascii="Carlito" w:hAnsi="Carlito" w:eastAsia="Carlito"/>
        </w:rPr>
        <w:t>11. Право на ответ и исправление</w:t>
      </w:r>
    </w:p>
    <w:p>
      <w:pPr>
        <w:widowControl/>
      </w:pPr>
      <w:r>
        <w:rPr>
          <w:rFonts w:ascii="Carlito" w:hAnsi="Carlito" w:eastAsia="Carlito"/>
        </w:rPr>
        <w:t>Кандидат получает до публикации возможность проверить собственный текст, перевод, ссылки, краткую карточку и формальные отметки. Исправление технической ошибки производится немедленно с журналом. Содержательное изменение создаёт новую версию.</w:t>
      </w:r>
    </w:p>
    <w:p>
      <w:pPr>
        <w:widowControl/>
      </w:pPr>
      <w:r>
        <w:rPr>
          <w:rFonts w:ascii="Carlito" w:hAnsi="Carlito" w:eastAsia="Carlito"/>
        </w:rPr>
        <w:t>При публикации критического экспертного примечания кандидат получает сопоставимый объём для ответа. Право ответа не означает право удалить источник, альтернативный расчёт или зафиксированное изменение.</w:t>
      </w:r>
    </w:p>
    <w:p>
      <w:pPr>
        <w:pStyle w:val="Heading2"/>
        <w:keepNext/>
        <w:keepLines/>
        <w:widowControl/>
      </w:pPr>
      <w:r>
        <w:rPr>
          <w:rFonts w:ascii="Carlito" w:hAnsi="Carlito" w:eastAsia="Carlito"/>
        </w:rPr>
        <w:t>12. Судебный контроль</w:t>
      </w:r>
    </w:p>
    <w:p>
      <w:pPr>
        <w:widowControl/>
      </w:pPr>
      <w:r>
        <w:rPr>
          <w:rFonts w:ascii="Carlito" w:hAnsi="Carlito" w:eastAsia="Carlito"/>
        </w:rPr>
        <w:t>Суд может проверить: соблюдение срока; равенство процедур; наличие формального признака; соответствие карточки полному тексту; достоверность цитаты из официального документа; законность обработки данных; полномочие органа; обоснованность временной меры.</w:t>
      </w:r>
    </w:p>
    <w:p>
      <w:pPr>
        <w:widowControl/>
      </w:pPr>
      <w:r>
        <w:rPr>
          <w:rFonts w:ascii="Carlito" w:hAnsi="Carlito" w:eastAsia="Carlito"/>
        </w:rPr>
        <w:t>Суд не может: выбирать политическую категорию в спорном смысловом случае; признавать альтернативу лучшей или худшей; устанавливать обязательный способ реализации; требовать от кандидата принять пункт; превращать политическое обещание результата в судебно исполнимый долг.</w:t>
      </w:r>
    </w:p>
    <w:p>
      <w:pPr>
        <w:pStyle w:val="Heading2"/>
        <w:keepNext/>
        <w:keepLines/>
        <w:widowControl/>
      </w:pPr>
      <w:r>
        <w:rPr>
          <w:rFonts w:ascii="Carlito" w:hAnsi="Carlito" w:eastAsia="Carlito"/>
        </w:rPr>
        <w:t>13. Процедурная ответственность и запрет содержательной санкции</w:t>
      </w:r>
    </w:p>
    <w:p>
      <w:pPr>
        <w:widowControl/>
      </w:pPr>
      <w:r>
        <w:rPr>
          <w:rFonts w:ascii="Carlito" w:hAnsi="Carlito" w:eastAsia="Carlito"/>
        </w:rPr>
        <w:t>За пропуск установленного срока, подделку, скрытое изменение, неравный доступ или неисполнение судебного предписания возможны соразмерные последствия национального права. За отказ, альтернативу, условное принятие, добросовестную ошибку прогноза или последующее политическое изменение специальная санкция Доктрины не устанавливается.</w:t>
      </w:r>
    </w:p>
    <w:p>
      <w:pPr>
        <w:pStyle w:val="Heading2"/>
        <w:keepNext/>
        <w:keepLines/>
        <w:widowControl/>
      </w:pPr>
      <w:r>
        <w:rPr>
          <w:rFonts w:ascii="Carlito" w:hAnsi="Carlito" w:eastAsia="Carlito"/>
        </w:rPr>
        <w:t>14. Специальные случаи</w:t>
      </w:r>
    </w:p>
    <w:p>
      <w:pPr>
        <w:pStyle w:val="ListBullet"/>
        <w:widowControl/>
      </w:pPr>
      <w:r>
        <w:rPr>
          <w:rFonts w:ascii="Carlito" w:hAnsi="Carlito" w:eastAsia="Carlito"/>
        </w:rPr>
        <w:t>при ошибке перевода приоритет имеет подтверждённый кандидатом исходный язык, а исправленный перевод публикуется вместе с журналом;</w:t>
      </w:r>
    </w:p>
    <w:p>
      <w:pPr>
        <w:pStyle w:val="ListBullet"/>
        <w:widowControl/>
      </w:pPr>
      <w:r>
        <w:rPr>
          <w:rFonts w:ascii="Carlito" w:hAnsi="Carlito" w:eastAsia="Carlito"/>
        </w:rPr>
        <w:t>при технически повреждённом файле используется доказуемая резервная копия, а не восстановленный оператором смысл;</w:t>
      </w:r>
    </w:p>
    <w:p>
      <w:pPr>
        <w:pStyle w:val="ListBullet"/>
        <w:widowControl/>
      </w:pPr>
      <w:r>
        <w:rPr>
          <w:rFonts w:ascii="Carlito" w:hAnsi="Carlito" w:eastAsia="Carlito"/>
        </w:rPr>
        <w:t>при несовместимости краткости и точности полный текст имеет приоритет, а карточка может содержать предупреждение о составной позиции;</w:t>
      </w:r>
    </w:p>
    <w:p>
      <w:pPr>
        <w:pStyle w:val="ListBullet"/>
        <w:widowControl/>
      </w:pPr>
      <w:r>
        <w:rPr>
          <w:rFonts w:ascii="Carlito" w:hAnsi="Carlito" w:eastAsia="Carlito"/>
        </w:rPr>
        <w:t>при судебном споре непосредственно перед голосованием материал не удаляется, если нет угрозы правам; публикуется статус спора;</w:t>
      </w:r>
    </w:p>
    <w:p>
      <w:pPr>
        <w:pStyle w:val="ListBullet"/>
        <w:widowControl/>
      </w:pPr>
      <w:r>
        <w:rPr>
          <w:rFonts w:ascii="Carlito" w:hAnsi="Carlito" w:eastAsia="Carlito"/>
        </w:rPr>
        <w:t>при обнаружении нераскрытого финансирования декларации применяются обычные правила кампанийного финансирования, но политический текст не переписывается.</w:t>
      </w:r>
    </w:p>
    <w:p>
      <w:pPr>
        <w:pStyle w:val="Heading2"/>
        <w:keepNext/>
        <w:widowControl/>
      </w:pPr>
      <w:r>
        <w:t>15. Формальная грамматика счёта</w:t>
      </w:r>
    </w:p>
    <w:p>
      <w:pPr>
        <w:widowControl/>
      </w:pPr>
      <w:r>
        <w:t>Безусловным принятием считается только ответ, который подтверждает цель, охват, адресата и временной горизонт пункта без условия, исключения или замены. Политическая аргументация и выбранный способ реализации не влияют на категорию, если не изменяют эти структурные элементы.</w:t>
      </w:r>
    </w:p>
    <w:p>
      <w:pPr>
        <w:widowControl/>
      </w:pPr>
      <w:r>
        <w:t>Условный ответ содержит объективное событие, внешнее для кандидата, с измеримым критерием и заранее определённым способом установления. Самоуправляемые формулы «при наличии ресурсов», «после достижения консенсуса» или иные условия, наступление которых кандидат способен неопределённо контролировать, не учитываются положительно.</w:t>
      </w:r>
    </w:p>
    <w:p>
      <w:pPr>
        <w:widowControl/>
      </w:pPr>
      <w:r>
        <w:t>Альтернатива изменяет цель, охват, срок, адресата или правовой эффект и учитывается отдельно. Оператор отмечает только наличие структурного изменения; оценка политической разумности запрещена. Полный текст, формальные признаки и результат счёта публикуются вместе и подлежат ускоренному обжалованию.</w:t>
      </w:r>
    </w:p>
    <w:p>
      <w:pPr>
        <w:widowControl/>
      </w:pPr>
      <w:r>
        <w:t>Пограничный пример должен одинаково классифицироваться независимыми проверяющими. Устойчивое расхождение является дефектом грамматики и запрещает использование спорной категории до исправления.</w:t>
      </w:r>
    </w:p>
    <w:p>
      <w:pPr>
        <w:pStyle w:val="Heading2"/>
        <w:keepNext/>
        <w:keepLines/>
        <w:widowControl/>
      </w:pPr>
      <w:r>
        <w:rPr>
          <w:rFonts w:ascii="Carlito" w:hAnsi="Carlito" w:eastAsia="Carlito"/>
        </w:rPr>
        <w:t>16. Наиболее сильные возражения и встроенные ответы</w:t>
      </w:r>
    </w:p>
    <w:p>
      <w:pPr>
        <w:pStyle w:val="Heading3"/>
        <w:keepNext/>
        <w:keepLines/>
        <w:widowControl/>
      </w:pPr>
      <w:r>
        <w:rPr>
          <w:rFonts w:ascii="Carlito" w:hAnsi="Carlito" w:eastAsia="Carlito"/>
        </w:rPr>
        <w:t>16.1. «Двойное отображение запутает граждан»</w:t>
      </w:r>
    </w:p>
    <w:p>
      <w:pPr>
        <w:widowControl/>
      </w:pPr>
      <w:r>
        <w:rPr>
          <w:rFonts w:ascii="Carlito" w:hAnsi="Carlito" w:eastAsia="Carlito"/>
        </w:rPr>
        <w:t>Сложность не скрывается ложной однозначностью. Интерфейс сначала показывает самоописание кандидата и краткий формальный признак, а полный спор раскрывается по ссылке.</w:t>
      </w:r>
    </w:p>
    <w:p>
      <w:pPr>
        <w:pStyle w:val="Heading3"/>
        <w:keepNext/>
        <w:keepLines/>
        <w:widowControl/>
      </w:pPr>
      <w:r>
        <w:rPr>
          <w:rFonts w:ascii="Carlito" w:hAnsi="Carlito" w:eastAsia="Carlito"/>
        </w:rPr>
        <w:t>16.2. «Без официальной переклассификации лимит отказа легко обойти»</w:t>
      </w:r>
    </w:p>
    <w:p>
      <w:pPr>
        <w:widowControl/>
      </w:pPr>
      <w:r>
        <w:rPr>
          <w:rFonts w:ascii="Carlito" w:hAnsi="Carlito" w:eastAsia="Carlito"/>
        </w:rPr>
        <w:t>Лимит рассчитывается по подписанным категориям, а прямое текстовое противоречие имеет закрытый процессный режим. Сложное политическое расхождение остаётся предметом выборов, а не административного наказания.</w:t>
      </w:r>
    </w:p>
    <w:p>
      <w:pPr>
        <w:pStyle w:val="Heading3"/>
        <w:keepNext/>
        <w:keepLines/>
        <w:widowControl/>
      </w:pPr>
      <w:r>
        <w:rPr>
          <w:rFonts w:ascii="Carlito" w:hAnsi="Carlito" w:eastAsia="Carlito"/>
        </w:rPr>
        <w:t>16.3. «Суд всё равно окажется втянут в политику»</w:t>
      </w:r>
    </w:p>
    <w:p>
      <w:pPr>
        <w:widowControl/>
      </w:pPr>
      <w:r>
        <w:rPr>
          <w:rFonts w:ascii="Carlito" w:hAnsi="Carlito" w:eastAsia="Carlito"/>
        </w:rPr>
        <w:t>Предмет суда ограничен проверяемыми фактами процедуры. Невозможность полностью исключить пограничные дела признаётся остаточным риском и требует узких средств защиты.</w:t>
      </w:r>
    </w:p>
    <w:p>
      <w:pPr>
        <w:pStyle w:val="Heading3"/>
        <w:keepNext/>
        <w:keepLines/>
        <w:widowControl/>
      </w:pPr>
      <w:r>
        <w:rPr>
          <w:rFonts w:ascii="Carlito" w:hAnsi="Carlito" w:eastAsia="Carlito"/>
        </w:rPr>
        <w:t>16.4. «Кандидат будет бесконечно менять версии»</w:t>
      </w:r>
    </w:p>
    <w:p>
      <w:pPr>
        <w:widowControl/>
      </w:pPr>
      <w:r>
        <w:rPr>
          <w:rFonts w:ascii="Carlito" w:hAnsi="Carlito" w:eastAsia="Carlito"/>
        </w:rPr>
        <w:t>Окончательная дата фиксирует статус для выборов; поздняя версия не стирает прежнюю и получает отдельную маркировку.</w:t>
      </w:r>
    </w:p>
    <w:p>
      <w:pPr>
        <w:pStyle w:val="Heading3"/>
        <w:keepNext/>
        <w:keepLines/>
        <w:widowControl/>
      </w:pPr>
      <w:r>
        <w:rPr>
          <w:rFonts w:ascii="Carlito" w:hAnsi="Carlito" w:eastAsia="Carlito"/>
        </w:rPr>
        <w:t>16.5. «Экспертные альтернативы создадут информационный шум»</w:t>
      </w:r>
    </w:p>
    <w:p>
      <w:pPr>
        <w:widowControl/>
      </w:pPr>
      <w:r>
        <w:rPr>
          <w:rFonts w:ascii="Carlito" w:hAnsi="Carlito" w:eastAsia="Carlito"/>
        </w:rPr>
        <w:t>Число официальных сценариев ограничивается методикой, но особые мнения и исходные расчёты сохраняются без единого государственного вывода.</w:t>
      </w:r>
    </w:p>
    <w:p>
      <w:pPr>
        <w:pStyle w:val="Heading2"/>
        <w:keepNext/>
        <w:keepLines/>
        <w:widowControl/>
      </w:pPr>
      <w:r>
        <w:rPr>
          <w:rFonts w:ascii="Carlito" w:hAnsi="Carlito" w:eastAsia="Carlito"/>
        </w:rPr>
        <w:t>17. Связь с другими главами и вывод</w:t>
      </w:r>
    </w:p>
    <w:p>
      <w:pPr>
        <w:widowControl/>
      </w:pPr>
      <w:r>
        <w:rPr>
          <w:rFonts w:ascii="Carlito" w:hAnsi="Carlito" w:eastAsia="Carlito"/>
        </w:rPr>
        <w:t>Глава конкретизирует главу XX и обеспечивает нейтральность главы XXII. Она применяется с правилами обжалования, информационной безопасности, защите данных, конфликтах интересов и запрете государственного арбитража политической истины.</w:t>
      </w:r>
    </w:p>
    <w:p>
      <w:pPr>
        <w:pStyle w:val="DoctrineQuote"/>
        <w:widowControl/>
      </w:pPr>
      <w:r>
        <w:rPr>
          <w:rFonts w:ascii="Carlito" w:hAnsi="Carlito" w:eastAsia="Carlito"/>
          <w:i/>
        </w:rPr>
        <w:t>Официальная определённость должна касаться документа, срока, источника и процедуры. Политический смысл остаётся открытым для свободной конкуренции интерпретаций.</w:t>
      </w:r>
    </w:p>
    <w:p>
      <w:pPr>
        <w:widowControl/>
      </w:pPr>
      <w:r>
        <w:rPr>
          <w:rFonts w:ascii="Carlito" w:hAnsi="Carlito" w:eastAsia="Carlito"/>
        </w:rPr>
        <w:br w:type="page"/>
      </w:r>
    </w:p>
    <w:p>
      <w:pPr>
        <w:pStyle w:val="Heading1"/>
        <w:keepNext/>
        <w:keepLines/>
        <w:pageBreakBefore/>
        <w:spacing w:before="0" w:after="160"/>
        <w:widowControl/>
        <w:pBdr>
          <w:bottom w:val="single" w:sz="5" w:space="4" w:color="B4C6E7"/>
        </w:pBdr>
      </w:pPr>
      <w:r>
        <w:rPr>
          <w:rFonts w:ascii="Carlito" w:hAnsi="Carlito" w:eastAsia="Carlito"/>
        </w:rPr>
        <w:t>Глава XXII. Официальное информирование избирателя и сопоставимое представление позиций кандидатов</w:t>
      </w:r>
    </w:p>
    <w:p>
      <w:pPr>
        <w:pStyle w:val="Heading2"/>
        <w:keepNext/>
        <w:keepLines/>
        <w:widowControl/>
      </w:pPr>
      <w:r>
        <w:rPr>
          <w:rFonts w:ascii="Carlito" w:hAnsi="Carlito" w:eastAsia="Carlito"/>
        </w:rPr>
        <w:t>1. Предмет и цель</w:t>
      </w:r>
    </w:p>
    <w:p>
      <w:pPr>
        <w:widowControl/>
      </w:pPr>
      <w:r>
        <w:rPr>
          <w:rFonts w:ascii="Carlito" w:hAnsi="Carlito" w:eastAsia="Carlito"/>
        </w:rPr>
        <w:t>Настоящая глава устанавливает правила официального информирования избирателя о позициях кандидатов по общественному мандату. Её цель — обеспечить гражданину простой доступ к достоверным, сопоставимым и нейтрально представленным сведениям, не превращая официальный ресурс в средство агитации, государственный рейтинг кандидатов или механизм скрытого поведенческого воздействия.</w:t>
      </w:r>
    </w:p>
    <w:p>
      <w:pPr>
        <w:widowControl/>
      </w:pPr>
      <w:r>
        <w:rPr>
          <w:rFonts w:ascii="Carlito" w:hAnsi="Carlito" w:eastAsia="Carlito"/>
        </w:rPr>
        <w:t>Официальное информирование не заменяет предвыборную программу, дебаты, независимую журналистику, деятельность общественных организаций и свободную политическую дискуссию. Оно создаёт единый проверяемый источник исходных документов, на основании которых гражданин самостоятельно делает вывод.</w:t>
      </w:r>
    </w:p>
    <w:p>
      <w:pPr>
        <w:pStyle w:val="Heading2"/>
        <w:keepNext/>
        <w:keepLines/>
        <w:widowControl/>
      </w:pPr>
      <w:r>
        <w:rPr>
          <w:rFonts w:ascii="Carlito" w:hAnsi="Carlito" w:eastAsia="Carlito"/>
        </w:rPr>
        <w:t>2. Ключевой тезис</w:t>
      </w:r>
    </w:p>
    <w:p>
      <w:pPr>
        <w:widowControl/>
      </w:pPr>
      <w:r>
        <w:rPr>
          <w:rFonts w:ascii="Carlito" w:hAnsi="Carlito" w:eastAsia="Carlito"/>
        </w:rPr>
        <w:t>Официальная система вправе стандартизировать форму, источник, дату, полноту и порядок показа сведений. Она не вправе определять, какой кандидат «лучше соответствует обществу», какой отказ является морально неприемлемым или какая политическая альтернатива должна считаться правильной.</w:t>
      </w:r>
    </w:p>
    <w:p>
      <w:pPr>
        <w:pStyle w:val="DoctrineQuote"/>
        <w:widowControl/>
      </w:pPr>
      <w:r>
        <w:rPr>
          <w:rFonts w:ascii="Carlito" w:hAnsi="Carlito" w:eastAsia="Carlito"/>
          <w:i/>
        </w:rPr>
        <w:t>Официальная платформа сообщает, что кандидат сказал и какие проверяемые параметры он указал. Она не решает за гражданина, как это оценивать.</w:t>
      </w:r>
    </w:p>
    <w:p>
      <w:pPr>
        <w:pStyle w:val="Heading2"/>
        <w:keepNext/>
        <w:keepLines/>
        <w:widowControl/>
      </w:pPr>
      <w:r>
        <w:rPr>
          <w:rFonts w:ascii="Carlito" w:hAnsi="Carlito" w:eastAsia="Carlito"/>
        </w:rPr>
        <w:t>3. Разделение информационных режимов</w:t>
      </w:r>
    </w:p>
    <w:p>
      <w:pPr>
        <w:widowControl/>
      </w:pPr>
      <w:r>
        <w:rPr>
          <w:rFonts w:ascii="Carlito" w:hAnsi="Carlito" w:eastAsia="Carlito"/>
        </w:rPr>
        <w:t>Вся информация, связанная с декларациями кандидатов, разделяется на четыре режима.</w:t>
      </w:r>
    </w:p>
    <w:tbl>
      <w:tblPr>
        <w:tblStyle w:val="TableGrid"/>
        <w:tblW w:type="auto" w:w="0"/>
        <w:jc w:val="center"/>
        <w:tblLook w:firstColumn="1" w:firstRow="1" w:lastColumn="0" w:lastRow="0" w:noHBand="0" w:noVBand="1" w:val="04A0"/>
      </w:tblPr>
      <w:tblGrid>
        <w:gridCol w:w="2416"/>
        <w:gridCol w:w="2416"/>
        <w:gridCol w:w="2416"/>
        <w:gridCol w:w="2416"/>
      </w:tblGrid>
      <w:tr>
        <w:trPr>
          <w:tblHeader w:val="true"/>
          <w:cantSplit/>
          <w:cantSplit/>
          <w:tblHeader w:val="true"/>
        </w:trPr>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Режим</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Содержание</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Допустимый официальный эффект</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Запрещённый эффект</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Официальные исходные данные</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Подписанная декларация, приложения, версии, даты, источники</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Аутентификация, публикация, архивирование</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Редакционная подмена или сокращение без контроля кандидата</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Формальные процессные сведения</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Срок подачи, наличие обязательных полей, история изменений, статус спора</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Автоматическая маркировка по закрытым правилам</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Оценка политической честности, разумности или популярности</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Справочные материалы</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Текст общественного пункта, паспорт последствий, правовой статус, методика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Нейтральное пояснение контекста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Продвижение одного ответа как официально предпочтительного</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Независимая аналитика</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Исследования, экспертные сравнения, журналистские материалы</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Публикация внешних ссылок по равным критериям</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Присвоение аналитике статуса государственной истины</w:t>
            </w:r>
          </w:p>
        </w:tc>
      </w:tr>
    </w:tbl>
    <w:p>
      <w:pPr>
        <w:widowControl/>
      </w:pPr>
    </w:p>
    <w:p>
      <w:pPr>
        <w:widowControl/>
      </w:pPr>
      <w:r>
        <w:rPr>
          <w:rFonts w:ascii="Carlito" w:hAnsi="Carlito" w:eastAsia="Carlito"/>
        </w:rPr>
        <w:t>Режимы визуально и юридически отделяются. Пользователь должен без специальной подготовки понимать, где находится оригинал кандидата, где — формальная отметка оператора, где — справочный материал и где — внешнее мнение.</w:t>
      </w:r>
    </w:p>
    <w:p>
      <w:pPr>
        <w:pStyle w:val="Heading2"/>
        <w:keepNext/>
        <w:keepLines/>
        <w:widowControl/>
      </w:pPr>
      <w:r>
        <w:rPr>
          <w:rFonts w:ascii="Carlito" w:hAnsi="Carlito" w:eastAsia="Carlito"/>
        </w:rPr>
        <w:t>4. Официальная карточка кандидата</w:t>
      </w:r>
    </w:p>
    <w:p>
      <w:pPr>
        <w:widowControl/>
      </w:pPr>
      <w:r>
        <w:rPr>
          <w:rFonts w:ascii="Carlito" w:hAnsi="Carlito" w:eastAsia="Carlito"/>
        </w:rPr>
        <w:t>Для каждого кандидата создаётся единая карточка. Она содержит:</w:t>
      </w:r>
    </w:p>
    <w:p>
      <w:pPr>
        <w:pStyle w:val="ListBullet"/>
        <w:widowControl/>
      </w:pPr>
      <w:r>
        <w:rPr>
          <w:rFonts w:ascii="Carlito" w:hAnsi="Carlito" w:eastAsia="Carlito"/>
        </w:rPr>
        <w:t>имя кандидата и сведения, предусмотренные общим избирательным законодательством;</w:t>
      </w:r>
    </w:p>
    <w:p>
      <w:pPr>
        <w:pStyle w:val="ListBullet"/>
        <w:widowControl/>
      </w:pPr>
      <w:r>
        <w:rPr>
          <w:rFonts w:ascii="Carlito" w:hAnsi="Carlito" w:eastAsia="Carlito"/>
        </w:rPr>
        <w:t>точный перечень пунктов общественного мандата;</w:t>
      </w:r>
    </w:p>
    <w:p>
      <w:pPr>
        <w:pStyle w:val="ListBullet"/>
        <w:widowControl/>
      </w:pPr>
      <w:r>
        <w:rPr>
          <w:rFonts w:ascii="Carlito" w:hAnsi="Carlito" w:eastAsia="Carlito"/>
        </w:rPr>
        <w:t>самоописанную кандидатом форму позиции по каждому пункту;</w:t>
      </w:r>
    </w:p>
    <w:p>
      <w:pPr>
        <w:pStyle w:val="ListBullet"/>
        <w:widowControl/>
      </w:pPr>
      <w:r>
        <w:rPr>
          <w:rFonts w:ascii="Carlito" w:hAnsi="Carlito" w:eastAsia="Carlito"/>
        </w:rPr>
        <w:t>краткое изложение, подтверждённое кандидатом;</w:t>
      </w:r>
    </w:p>
    <w:p>
      <w:pPr>
        <w:pStyle w:val="ListBullet"/>
        <w:widowControl/>
      </w:pPr>
      <w:r>
        <w:rPr>
          <w:rFonts w:ascii="Carlito" w:hAnsi="Carlito" w:eastAsia="Carlito"/>
        </w:rPr>
        <w:t>ссылку на неизменяемый полный текст;</w:t>
      </w:r>
    </w:p>
    <w:p>
      <w:pPr>
        <w:pStyle w:val="ListBullet"/>
        <w:widowControl/>
      </w:pPr>
      <w:r>
        <w:rPr>
          <w:rFonts w:ascii="Carlito" w:hAnsi="Carlito" w:eastAsia="Carlito"/>
        </w:rPr>
        <w:t>дату и время подачи;</w:t>
      </w:r>
    </w:p>
    <w:p>
      <w:pPr>
        <w:pStyle w:val="ListBullet"/>
        <w:widowControl/>
      </w:pPr>
      <w:r>
        <w:rPr>
          <w:rFonts w:ascii="Carlito" w:hAnsi="Carlito" w:eastAsia="Carlito"/>
        </w:rPr>
        <w:t>номер версии и историю изменений;</w:t>
      </w:r>
    </w:p>
    <w:p>
      <w:pPr>
        <w:pStyle w:val="ListBullet"/>
        <w:widowControl/>
      </w:pPr>
      <w:r>
        <w:rPr>
          <w:rFonts w:ascii="Carlito" w:hAnsi="Carlito" w:eastAsia="Carlito"/>
        </w:rPr>
        <w:t>указанные кандидатом полномочия, первый шаг, срок, показатель, ресурсные предпосылки и зависимости;</w:t>
      </w:r>
    </w:p>
    <w:p>
      <w:pPr>
        <w:pStyle w:val="ListBullet"/>
        <w:widowControl/>
      </w:pPr>
      <w:r>
        <w:rPr>
          <w:rFonts w:ascii="Carlito" w:hAnsi="Carlito" w:eastAsia="Carlito"/>
        </w:rPr>
        <w:t>формальные отметки полноты;</w:t>
      </w:r>
    </w:p>
    <w:p>
      <w:pPr>
        <w:pStyle w:val="ListBullet"/>
        <w:widowControl/>
      </w:pPr>
      <w:r>
        <w:rPr>
          <w:rFonts w:ascii="Carlito" w:hAnsi="Carlito" w:eastAsia="Carlito"/>
        </w:rPr>
        <w:t>сведения о поданной жалобе или продолжающемся споре;</w:t>
      </w:r>
    </w:p>
    <w:p>
      <w:pPr>
        <w:pStyle w:val="ListBullet"/>
        <w:widowControl/>
      </w:pPr>
      <w:r>
        <w:rPr>
          <w:rFonts w:ascii="Carlito" w:hAnsi="Carlito" w:eastAsia="Carlito"/>
        </w:rPr>
        <w:t>право кандидата на пояснение и ответ;</w:t>
      </w:r>
    </w:p>
    <w:p>
      <w:pPr>
        <w:pStyle w:val="ListBullet"/>
        <w:widowControl/>
      </w:pPr>
      <w:r>
        <w:rPr>
          <w:rFonts w:ascii="Carlito" w:hAnsi="Carlito" w:eastAsia="Carlito"/>
        </w:rPr>
        <w:t>машинно читаемую версию без изменения смысла.</w:t>
      </w:r>
    </w:p>
    <w:p>
      <w:pPr>
        <w:widowControl/>
      </w:pPr>
      <w:r>
        <w:rPr>
          <w:rFonts w:ascii="Carlito" w:hAnsi="Carlito" w:eastAsia="Carlito"/>
        </w:rPr>
        <w:t>Никакие сведения из неофициальных выступлений не включаются в поле декларации. Расхождения между декларацией и последующими публичными заявлениями могут показываться в отдельном разделе с точной ссылкой на источник и ответом кандидата.</w:t>
      </w:r>
    </w:p>
    <w:p>
      <w:pPr>
        <w:pStyle w:val="Heading2"/>
        <w:keepNext/>
        <w:keepLines/>
        <w:widowControl/>
      </w:pPr>
      <w:r>
        <w:rPr>
          <w:rFonts w:ascii="Carlito" w:hAnsi="Carlito" w:eastAsia="Carlito"/>
        </w:rPr>
        <w:t>5. Приоритет полного текста</w:t>
      </w:r>
    </w:p>
    <w:p>
      <w:pPr>
        <w:widowControl/>
      </w:pPr>
      <w:r>
        <w:rPr>
          <w:rFonts w:ascii="Carlito" w:hAnsi="Carlito" w:eastAsia="Carlito"/>
        </w:rPr>
        <w:t>Краткая карточка является средством навигации. Полный подписанный текст имеет приоритет во всех случаях расхождения, недостаточности или спорности сокращённого представления.</w:t>
      </w:r>
    </w:p>
    <w:p>
      <w:pPr>
        <w:widowControl/>
      </w:pPr>
      <w:r>
        <w:rPr>
          <w:rFonts w:ascii="Carlito" w:hAnsi="Carlito" w:eastAsia="Carlito"/>
        </w:rPr>
        <w:t>Сокращение допускается только при одновременном соблюдении условий:</w:t>
      </w:r>
    </w:p>
    <w:p>
      <w:pPr>
        <w:pStyle w:val="ListBullet"/>
        <w:widowControl/>
      </w:pPr>
      <w:r>
        <w:rPr>
          <w:rFonts w:ascii="Carlito" w:hAnsi="Carlito" w:eastAsia="Carlito"/>
        </w:rPr>
        <w:t>кандидат видит сокращение до публикации;</w:t>
      </w:r>
    </w:p>
    <w:p>
      <w:pPr>
        <w:pStyle w:val="ListBullet"/>
        <w:widowControl/>
      </w:pPr>
      <w:r>
        <w:rPr>
          <w:rFonts w:ascii="Carlito" w:hAnsi="Carlito" w:eastAsia="Carlito"/>
        </w:rPr>
        <w:t>исключено добавление новых оценочных слов;</w:t>
      </w:r>
    </w:p>
    <w:p>
      <w:pPr>
        <w:pStyle w:val="ListBullet"/>
        <w:widowControl/>
      </w:pPr>
      <w:r>
        <w:rPr>
          <w:rFonts w:ascii="Carlito" w:hAnsi="Carlito" w:eastAsia="Carlito"/>
        </w:rPr>
        <w:t>сохранены условия, ограничения и зависимости;</w:t>
      </w:r>
    </w:p>
    <w:p>
      <w:pPr>
        <w:pStyle w:val="ListBullet"/>
        <w:widowControl/>
      </w:pPr>
      <w:r>
        <w:rPr>
          <w:rFonts w:ascii="Carlito" w:hAnsi="Carlito" w:eastAsia="Carlito"/>
        </w:rPr>
        <w:t>не создаётся впечатление большей степени согласия или отказа, чем следует из полного текста;</w:t>
      </w:r>
    </w:p>
    <w:p>
      <w:pPr>
        <w:pStyle w:val="ListBullet"/>
        <w:widowControl/>
      </w:pPr>
      <w:r>
        <w:rPr>
          <w:rFonts w:ascii="Carlito" w:hAnsi="Carlito" w:eastAsia="Carlito"/>
        </w:rPr>
        <w:t>рядом доступен полный текст;</w:t>
      </w:r>
    </w:p>
    <w:p>
      <w:pPr>
        <w:pStyle w:val="ListBullet"/>
        <w:widowControl/>
      </w:pPr>
      <w:r>
        <w:rPr>
          <w:rFonts w:ascii="Carlito" w:hAnsi="Carlito" w:eastAsia="Carlito"/>
        </w:rPr>
        <w:t>техническое исправление и содержательное изменение различаются;</w:t>
      </w:r>
    </w:p>
    <w:p>
      <w:pPr>
        <w:pStyle w:val="ListBullet"/>
        <w:widowControl/>
      </w:pPr>
      <w:r>
        <w:rPr>
          <w:rFonts w:ascii="Carlito" w:hAnsi="Carlito" w:eastAsia="Carlito"/>
        </w:rPr>
        <w:t>каждая версия сокращения архивируется.</w:t>
      </w:r>
    </w:p>
    <w:p>
      <w:pPr>
        <w:widowControl/>
      </w:pPr>
      <w:r>
        <w:rPr>
          <w:rFonts w:ascii="Carlito" w:hAnsi="Carlito" w:eastAsia="Carlito"/>
        </w:rPr>
        <w:t>Отказ кандидата подтвердить краткую формулировку не блокирует публикацию полного текста. В таком случае карточка содержит нейтральную отметку: «краткое изложение кандидатом не подтверждено; см. полный ответ».</w:t>
      </w:r>
    </w:p>
    <w:p>
      <w:pPr>
        <w:pStyle w:val="Heading2"/>
        <w:keepNext/>
        <w:keepLines/>
        <w:widowControl/>
      </w:pPr>
      <w:r>
        <w:rPr>
          <w:rFonts w:ascii="Carlito" w:hAnsi="Carlito" w:eastAsia="Carlito"/>
        </w:rPr>
        <w:t>6. Сопоставимая матрица</w:t>
      </w:r>
    </w:p>
    <w:p>
      <w:pPr>
        <w:widowControl/>
      </w:pPr>
      <w:r>
        <w:rPr>
          <w:rFonts w:ascii="Carlito" w:hAnsi="Carlito" w:eastAsia="Carlito"/>
        </w:rPr>
        <w:t>Официальная система предоставляет возможность сравнить кандидатов по одинаковым полям. Сопоставимость достигается не единым баллом, а единым набором вопросов.</w:t>
      </w:r>
    </w:p>
    <w:tbl>
      <w:tblPr>
        <w:tblStyle w:val="TableGrid"/>
        <w:tblW w:type="auto" w:w="0"/>
        <w:jc w:val="center"/>
        <w:tblLook w:firstColumn="1" w:firstRow="1" w:lastColumn="0" w:lastRow="0" w:noHBand="0" w:noVBand="1" w:val="04A0"/>
      </w:tblPr>
      <w:tblGrid>
        <w:gridCol w:w="3222"/>
        <w:gridCol w:w="3222"/>
        <w:gridCol w:w="3222"/>
      </w:tblGrid>
      <w:tr>
        <w:trPr>
          <w:tblHeader w:val="true"/>
          <w:cantSplit/>
          <w:cantSplit/>
          <w:tblHeader w:val="true"/>
        </w:trPr>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Поле сравнения</w:t>
            </w:r>
          </w:p>
        </w:tc>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Что показывается</w:t>
            </w:r>
          </w:p>
        </w:tc>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Что не допускается</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Форма позиции</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КП-1, КП-2, КП-3, КП-4 или составная позиция в самоописании кандидата</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Официальное изменение категории по политическому смыслу</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Цель</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Как кандидат понимает принимаемую или альтернативную цель</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Объявление одной цели более общественно правильной</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Первый шаг</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Конкретное действие в собственной компетенции</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Подмена шага обещанием чужого решения</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Срок</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Дата или период и условия его исчисления</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Скрытие срока за общими словами</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Полномочия</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Какие действия контролирует кандидат, какие зависят от других субъектов</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Приписывание кандидату полномочий парламента, суда или региона</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Ресурсы</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Диапазон затрат, источник, зависимость от бюджета</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Представление прогноза как гарантированной сметы</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Показатель</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Основной результат и защитные показатели</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Сведение результата к числу мероприятий</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Условия</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Проверяемые внешние события и источник их установления</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Самоуправляемые или неопределённые условия</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Изменения</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Все версии и причины</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Перезапись истории</w:t>
            </w:r>
          </w:p>
        </w:tc>
      </w:tr>
    </w:tbl>
    <w:p>
      <w:pPr>
        <w:widowControl/>
      </w:pPr>
    </w:p>
    <w:p>
      <w:pPr>
        <w:widowControl/>
      </w:pPr>
      <w:r>
        <w:rPr>
          <w:rFonts w:ascii="Carlito" w:hAnsi="Carlito" w:eastAsia="Carlito"/>
        </w:rPr>
        <w:t>Пользователь может выбирать порядок просмотра, но первоначальный порядок не должен давать устойчивого преимущества. По умолчанию применяется нейтральная ротация либо порядок, установленный общим избирательным законодательством и одинаковый для всех официальных материалов.</w:t>
      </w:r>
    </w:p>
    <w:p>
      <w:pPr>
        <w:pStyle w:val="Heading2"/>
        <w:keepNext/>
        <w:keepLines/>
        <w:widowControl/>
      </w:pPr>
      <w:r>
        <w:rPr>
          <w:rFonts w:ascii="Carlito" w:hAnsi="Carlito" w:eastAsia="Carlito"/>
        </w:rPr>
        <w:t>7. Запрет государственного рейтинга</w:t>
      </w:r>
    </w:p>
    <w:p>
      <w:pPr>
        <w:widowControl/>
      </w:pPr>
      <w:r>
        <w:rPr>
          <w:rFonts w:ascii="Carlito" w:hAnsi="Carlito" w:eastAsia="Carlito"/>
        </w:rPr>
        <w:t>Официальной системе запрещается:</w:t>
      </w:r>
    </w:p>
    <w:p>
      <w:pPr>
        <w:pStyle w:val="ListBullet"/>
        <w:widowControl/>
      </w:pPr>
      <w:r>
        <w:rPr>
          <w:rFonts w:ascii="Carlito" w:hAnsi="Carlito" w:eastAsia="Carlito"/>
        </w:rPr>
        <w:t>присваивать кандидату итоговый балл соответствия общественному мандату;</w:t>
      </w:r>
    </w:p>
    <w:p>
      <w:pPr>
        <w:pStyle w:val="ListBullet"/>
        <w:widowControl/>
      </w:pPr>
      <w:r>
        <w:rPr>
          <w:rFonts w:ascii="Carlito" w:hAnsi="Carlito" w:eastAsia="Carlito"/>
        </w:rPr>
        <w:t>вычислять процент «народности», «ответственности», «честности» или «исполняемости»;</w:t>
      </w:r>
    </w:p>
    <w:p>
      <w:pPr>
        <w:pStyle w:val="ListBullet"/>
        <w:widowControl/>
      </w:pPr>
      <w:r>
        <w:rPr>
          <w:rFonts w:ascii="Carlito" w:hAnsi="Carlito" w:eastAsia="Carlito"/>
        </w:rPr>
        <w:t>ранжировать кандидатов по числу принятых пунктов без одновременного раскрытия условий и альтернатив;</w:t>
      </w:r>
    </w:p>
    <w:p>
      <w:pPr>
        <w:pStyle w:val="ListBullet"/>
        <w:widowControl/>
      </w:pPr>
      <w:r>
        <w:rPr>
          <w:rFonts w:ascii="Carlito" w:hAnsi="Carlito" w:eastAsia="Carlito"/>
        </w:rPr>
        <w:t>использовать цветовые или графические решения, создающие моральную иерархию;</w:t>
      </w:r>
    </w:p>
    <w:p>
      <w:pPr>
        <w:pStyle w:val="ListBullet"/>
        <w:widowControl/>
      </w:pPr>
      <w:r>
        <w:rPr>
          <w:rFonts w:ascii="Carlito" w:hAnsi="Carlito" w:eastAsia="Carlito"/>
        </w:rPr>
        <w:t>формировать персонализированную рекомендацию, за кого голосовать;</w:t>
      </w:r>
    </w:p>
    <w:p>
      <w:pPr>
        <w:pStyle w:val="ListBullet"/>
        <w:widowControl/>
      </w:pPr>
      <w:r>
        <w:rPr>
          <w:rFonts w:ascii="Carlito" w:hAnsi="Carlito" w:eastAsia="Carlito"/>
        </w:rPr>
        <w:t>автоматически подбирать кандидата на основании истории политического поведения пользователя;</w:t>
      </w:r>
    </w:p>
    <w:p>
      <w:pPr>
        <w:pStyle w:val="ListBullet"/>
        <w:widowControl/>
      </w:pPr>
      <w:r>
        <w:rPr>
          <w:rFonts w:ascii="Carlito" w:hAnsi="Carlito" w:eastAsia="Carlito"/>
        </w:rPr>
        <w:t>скрывать кандидата или перемещать его вниз из-за отказов, альтернатив или сложных ответов;</w:t>
      </w:r>
    </w:p>
    <w:p>
      <w:pPr>
        <w:pStyle w:val="ListBullet"/>
        <w:widowControl/>
      </w:pPr>
      <w:r>
        <w:rPr>
          <w:rFonts w:ascii="Carlito" w:hAnsi="Carlito" w:eastAsia="Carlito"/>
        </w:rPr>
        <w:t>применять агрегированный показатель как официальный элемент бюллетеня или допуска.</w:t>
      </w:r>
    </w:p>
    <w:p>
      <w:pPr>
        <w:widowControl/>
      </w:pPr>
      <w:r>
        <w:rPr>
          <w:rFonts w:ascii="Carlito" w:hAnsi="Carlito" w:eastAsia="Carlito"/>
        </w:rPr>
        <w:t>Допускается пользовательский фильтр по отдельным фактическим параметрам, если он работает локально, не сохраняет политический профиль и не формирует официальный вывод. Каждый фильтр должен иметь понятную возможность сброса и не влиять на исходный порядок данных.</w:t>
      </w:r>
    </w:p>
    <w:p>
      <w:pPr>
        <w:pStyle w:val="Heading2"/>
        <w:keepNext/>
        <w:keepLines/>
        <w:widowControl/>
      </w:pPr>
      <w:r>
        <w:rPr>
          <w:rFonts w:ascii="Carlito" w:hAnsi="Carlito" w:eastAsia="Carlito"/>
        </w:rPr>
        <w:t>8. Нейтральность дизайна и порядка показа</w:t>
      </w:r>
    </w:p>
    <w:p>
      <w:pPr>
        <w:widowControl/>
      </w:pPr>
      <w:r>
        <w:rPr>
          <w:rFonts w:ascii="Carlito" w:hAnsi="Carlito" w:eastAsia="Carlito"/>
        </w:rPr>
        <w:t>Нейтральность включает не только текст, но и интерфейс. Обязательны:</w:t>
      </w:r>
    </w:p>
    <w:p>
      <w:pPr>
        <w:pStyle w:val="ListBullet"/>
        <w:widowControl/>
      </w:pPr>
      <w:r>
        <w:rPr>
          <w:rFonts w:ascii="Carlito" w:hAnsi="Carlito" w:eastAsia="Carlito"/>
        </w:rPr>
        <w:t>равный размер карточек и одинаковая глубина раскрытия;</w:t>
      </w:r>
    </w:p>
    <w:p>
      <w:pPr>
        <w:pStyle w:val="ListBullet"/>
        <w:widowControl/>
      </w:pPr>
      <w:r>
        <w:rPr>
          <w:rFonts w:ascii="Carlito" w:hAnsi="Carlito" w:eastAsia="Carlito"/>
        </w:rPr>
        <w:t>отсутствие заранее выбранного кандидата;</w:t>
      </w:r>
    </w:p>
    <w:p>
      <w:pPr>
        <w:pStyle w:val="ListBullet"/>
        <w:widowControl/>
      </w:pPr>
      <w:r>
        <w:rPr>
          <w:rFonts w:ascii="Carlito" w:hAnsi="Carlito" w:eastAsia="Carlito"/>
        </w:rPr>
        <w:t>отсутствие скрытых преимуществ через цвет, размер шрифта, анимацию или расположение кнопок;</w:t>
      </w:r>
    </w:p>
    <w:p>
      <w:pPr>
        <w:pStyle w:val="ListBullet"/>
        <w:widowControl/>
      </w:pPr>
      <w:r>
        <w:rPr>
          <w:rFonts w:ascii="Carlito" w:hAnsi="Carlito" w:eastAsia="Carlito"/>
        </w:rPr>
        <w:t>одинаковое количество действий до открытия полного ответа;</w:t>
      </w:r>
    </w:p>
    <w:p>
      <w:pPr>
        <w:pStyle w:val="ListBullet"/>
        <w:widowControl/>
      </w:pPr>
      <w:r>
        <w:rPr>
          <w:rFonts w:ascii="Carlito" w:hAnsi="Carlito" w:eastAsia="Carlito"/>
        </w:rPr>
        <w:t>отображение даты обновления и источника;</w:t>
      </w:r>
    </w:p>
    <w:p>
      <w:pPr>
        <w:pStyle w:val="ListBullet"/>
        <w:widowControl/>
      </w:pPr>
      <w:r>
        <w:rPr>
          <w:rFonts w:ascii="Carlito" w:hAnsi="Carlito" w:eastAsia="Carlito"/>
        </w:rPr>
        <w:t>независимое тестирование дизайна на политическое подталкивание;</w:t>
      </w:r>
    </w:p>
    <w:p>
      <w:pPr>
        <w:pStyle w:val="ListBullet"/>
        <w:widowControl/>
      </w:pPr>
      <w:r>
        <w:rPr>
          <w:rFonts w:ascii="Carlito" w:hAnsi="Carlito" w:eastAsia="Carlito"/>
        </w:rPr>
        <w:t>публикация результатов такого тестирования;</w:t>
      </w:r>
    </w:p>
    <w:p>
      <w:pPr>
        <w:pStyle w:val="ListBullet"/>
        <w:widowControl/>
      </w:pPr>
      <w:r>
        <w:rPr>
          <w:rFonts w:ascii="Carlito" w:hAnsi="Carlito" w:eastAsia="Carlito"/>
        </w:rPr>
        <w:t>запрет рекламных вставок и коммерческого профилирования;</w:t>
      </w:r>
    </w:p>
    <w:p>
      <w:pPr>
        <w:pStyle w:val="ListBullet"/>
        <w:widowControl/>
      </w:pPr>
      <w:r>
        <w:rPr>
          <w:rFonts w:ascii="Carlito" w:hAnsi="Carlito" w:eastAsia="Carlito"/>
        </w:rPr>
        <w:t>доступ к архивной версии интерфейса, действовавшей в день голосования.</w:t>
      </w:r>
    </w:p>
    <w:p>
      <w:pPr>
        <w:widowControl/>
      </w:pPr>
      <w:r>
        <w:rPr>
          <w:rFonts w:ascii="Carlito" w:hAnsi="Carlito" w:eastAsia="Carlito"/>
        </w:rPr>
        <w:t>Экспериментирование с интерфейсом допускается до начала официального периода и только на нейтральных макетах. Скрытые политические A/B-тесты на реальных кандидатах запрещаются.</w:t>
      </w:r>
    </w:p>
    <w:p>
      <w:pPr>
        <w:pStyle w:val="Heading2"/>
        <w:keepNext/>
        <w:keepLines/>
        <w:widowControl/>
      </w:pPr>
      <w:r>
        <w:rPr>
          <w:rFonts w:ascii="Carlito" w:hAnsi="Carlito" w:eastAsia="Carlito"/>
        </w:rPr>
        <w:t>9. Официальные справки по пунктам</w:t>
      </w:r>
    </w:p>
    <w:p>
      <w:pPr>
        <w:widowControl/>
      </w:pPr>
      <w:r>
        <w:rPr>
          <w:rFonts w:ascii="Carlito" w:hAnsi="Carlito" w:eastAsia="Carlito"/>
        </w:rPr>
        <w:t>По каждому пункту общественного мандата публикуется единый справочный пакет:</w:t>
      </w:r>
    </w:p>
    <w:p>
      <w:pPr>
        <w:pStyle w:val="ListBullet"/>
        <w:widowControl/>
      </w:pPr>
      <w:r>
        <w:rPr>
          <w:rFonts w:ascii="Carlito" w:hAnsi="Carlito" w:eastAsia="Carlito"/>
        </w:rPr>
        <w:t>исходная и финальная формулировка;</w:t>
      </w:r>
    </w:p>
    <w:p>
      <w:pPr>
        <w:pStyle w:val="ListBullet"/>
        <w:widowControl/>
      </w:pPr>
      <w:r>
        <w:rPr>
          <w:rFonts w:ascii="Carlito" w:hAnsi="Carlito" w:eastAsia="Carlito"/>
        </w:rPr>
        <w:t>история движения инициативы;</w:t>
      </w:r>
    </w:p>
    <w:p>
      <w:pPr>
        <w:pStyle w:val="ListBullet"/>
        <w:widowControl/>
      </w:pPr>
      <w:r>
        <w:rPr>
          <w:rFonts w:ascii="Carlito" w:hAnsi="Carlito" w:eastAsia="Carlito"/>
        </w:rPr>
        <w:t>уровень и субъект компетенции;</w:t>
      </w:r>
    </w:p>
    <w:p>
      <w:pPr>
        <w:pStyle w:val="ListBullet"/>
        <w:widowControl/>
      </w:pPr>
      <w:r>
        <w:rPr>
          <w:rFonts w:ascii="Carlito" w:hAnsi="Carlito" w:eastAsia="Carlito"/>
        </w:rPr>
        <w:t>правовой статус;</w:t>
      </w:r>
    </w:p>
    <w:p>
      <w:pPr>
        <w:pStyle w:val="ListBullet"/>
        <w:widowControl/>
      </w:pPr>
      <w:r>
        <w:rPr>
          <w:rFonts w:ascii="Carlito" w:hAnsi="Carlito" w:eastAsia="Carlito"/>
        </w:rPr>
        <w:t>паспорт последствий;</w:t>
      </w:r>
    </w:p>
    <w:p>
      <w:pPr>
        <w:pStyle w:val="ListBullet"/>
        <w:widowControl/>
      </w:pPr>
      <w:r>
        <w:rPr>
          <w:rFonts w:ascii="Carlito" w:hAnsi="Carlito" w:eastAsia="Carlito"/>
        </w:rPr>
        <w:t>основные допущения и диапазоны неопределённости;</w:t>
      </w:r>
    </w:p>
    <w:p>
      <w:pPr>
        <w:pStyle w:val="ListBullet"/>
        <w:widowControl/>
      </w:pPr>
      <w:r>
        <w:rPr>
          <w:rFonts w:ascii="Carlito" w:hAnsi="Carlito" w:eastAsia="Carlito"/>
        </w:rPr>
        <w:t>альтернативные экспертные сценарии;</w:t>
      </w:r>
    </w:p>
    <w:p>
      <w:pPr>
        <w:pStyle w:val="ListBullet"/>
        <w:widowControl/>
      </w:pPr>
      <w:r>
        <w:rPr>
          <w:rFonts w:ascii="Carlito" w:hAnsi="Carlito" w:eastAsia="Carlito"/>
        </w:rPr>
        <w:t>сведения о поддержке и участии;</w:t>
      </w:r>
    </w:p>
    <w:p>
      <w:pPr>
        <w:pStyle w:val="ListBullet"/>
        <w:widowControl/>
      </w:pPr>
      <w:r>
        <w:rPr>
          <w:rFonts w:ascii="Carlito" w:hAnsi="Carlito" w:eastAsia="Carlito"/>
        </w:rPr>
        <w:t>основные аргументы «за» и «против»;</w:t>
      </w:r>
    </w:p>
    <w:p>
      <w:pPr>
        <w:pStyle w:val="ListBullet"/>
        <w:widowControl/>
      </w:pPr>
      <w:r>
        <w:rPr>
          <w:rFonts w:ascii="Carlito" w:hAnsi="Carlito" w:eastAsia="Carlito"/>
        </w:rPr>
        <w:t>особые мнения;</w:t>
      </w:r>
    </w:p>
    <w:p>
      <w:pPr>
        <w:pStyle w:val="ListBullet"/>
        <w:widowControl/>
      </w:pPr>
      <w:r>
        <w:rPr>
          <w:rFonts w:ascii="Carlito" w:hAnsi="Carlito" w:eastAsia="Carlito"/>
        </w:rPr>
        <w:t>источники данных;</w:t>
      </w:r>
    </w:p>
    <w:p>
      <w:pPr>
        <w:pStyle w:val="ListBullet"/>
        <w:widowControl/>
      </w:pPr>
      <w:r>
        <w:rPr>
          <w:rFonts w:ascii="Carlito" w:hAnsi="Carlito" w:eastAsia="Carlito"/>
        </w:rPr>
        <w:t>дата актуальности.</w:t>
      </w:r>
    </w:p>
    <w:p>
      <w:pPr>
        <w:widowControl/>
      </w:pPr>
      <w:r>
        <w:rPr>
          <w:rFonts w:ascii="Carlito" w:hAnsi="Carlito" w:eastAsia="Carlito"/>
        </w:rPr>
        <w:t>Справка не должна подстраиваться под ответы кандидатов после их подачи. Любое позднее изменение фактического материала публикуется с причиной, прежней версией и равным правом кандидатов обновить пояснение.</w:t>
      </w:r>
    </w:p>
    <w:p>
      <w:pPr>
        <w:pStyle w:val="Heading2"/>
        <w:keepNext/>
        <w:keepLines/>
        <w:widowControl/>
      </w:pPr>
      <w:r>
        <w:rPr>
          <w:rFonts w:ascii="Carlito" w:hAnsi="Carlito" w:eastAsia="Carlito"/>
        </w:rPr>
        <w:t>10. Фактологические исправления и право на несогласие</w:t>
      </w:r>
    </w:p>
    <w:p>
      <w:pPr>
        <w:widowControl/>
      </w:pPr>
      <w:r>
        <w:rPr>
          <w:rFonts w:ascii="Carlito" w:hAnsi="Carlito" w:eastAsia="Carlito"/>
        </w:rPr>
        <w:t>Официальный оператор исправляет только собственные данные и проверяемые сведения, находящиеся в его ведении. При споре о внешнем факте он публикует:</w:t>
      </w:r>
    </w:p>
    <w:p>
      <w:pPr>
        <w:pStyle w:val="ListBullet"/>
        <w:widowControl/>
      </w:pPr>
      <w:r>
        <w:rPr>
          <w:rFonts w:ascii="Carlito" w:hAnsi="Carlito" w:eastAsia="Carlito"/>
        </w:rPr>
        <w:t>точное утверждение;</w:t>
      </w:r>
    </w:p>
    <w:p>
      <w:pPr>
        <w:pStyle w:val="ListBullet"/>
        <w:widowControl/>
      </w:pPr>
      <w:r>
        <w:rPr>
          <w:rFonts w:ascii="Carlito" w:hAnsi="Carlito" w:eastAsia="Carlito"/>
        </w:rPr>
        <w:t>источник кандидата;</w:t>
      </w:r>
    </w:p>
    <w:p>
      <w:pPr>
        <w:pStyle w:val="ListBullet"/>
        <w:widowControl/>
      </w:pPr>
      <w:r>
        <w:rPr>
          <w:rFonts w:ascii="Carlito" w:hAnsi="Carlito" w:eastAsia="Carlito"/>
        </w:rPr>
        <w:t>источник официального набора;</w:t>
      </w:r>
    </w:p>
    <w:p>
      <w:pPr>
        <w:pStyle w:val="ListBullet"/>
        <w:widowControl/>
      </w:pPr>
      <w:r>
        <w:rPr>
          <w:rFonts w:ascii="Carlito" w:hAnsi="Carlito" w:eastAsia="Carlito"/>
        </w:rPr>
        <w:t>позицию сторон;</w:t>
      </w:r>
    </w:p>
    <w:p>
      <w:pPr>
        <w:pStyle w:val="ListBullet"/>
        <w:widowControl/>
      </w:pPr>
      <w:r>
        <w:rPr>
          <w:rFonts w:ascii="Carlito" w:hAnsi="Carlito" w:eastAsia="Carlito"/>
        </w:rPr>
        <w:t>степень неопределённости;</w:t>
      </w:r>
    </w:p>
    <w:p>
      <w:pPr>
        <w:pStyle w:val="ListBullet"/>
        <w:widowControl/>
      </w:pPr>
      <w:r>
        <w:rPr>
          <w:rFonts w:ascii="Carlito" w:hAnsi="Carlito" w:eastAsia="Carlito"/>
        </w:rPr>
        <w:t>дату проверки;</w:t>
      </w:r>
    </w:p>
    <w:p>
      <w:pPr>
        <w:pStyle w:val="ListBullet"/>
        <w:widowControl/>
      </w:pPr>
      <w:r>
        <w:rPr>
          <w:rFonts w:ascii="Carlito" w:hAnsi="Carlito" w:eastAsia="Carlito"/>
        </w:rPr>
        <w:t>возможность последующего обновления.</w:t>
      </w:r>
    </w:p>
    <w:p>
      <w:pPr>
        <w:widowControl/>
      </w:pPr>
      <w:r>
        <w:rPr>
          <w:rFonts w:ascii="Carlito" w:hAnsi="Carlito" w:eastAsia="Carlito"/>
        </w:rPr>
        <w:t>Оператор не присваивает политическому прогнозу, оценке, причинной гипотезе или спорной интерпретации категорию официальной лжи. Мошенничество, подделка официальных документов, скрытая реклама и незаконное вмешательство регулируются общим правом и специальными главами Доктрины.</w:t>
      </w:r>
    </w:p>
    <w:p>
      <w:pPr>
        <w:pStyle w:val="Heading2"/>
        <w:keepNext/>
        <w:keepLines/>
        <w:widowControl/>
      </w:pPr>
      <w:r>
        <w:rPr>
          <w:rFonts w:ascii="Carlito" w:hAnsi="Carlito" w:eastAsia="Carlito"/>
        </w:rPr>
        <w:t>11. Дебаты и публичное объяснение</w:t>
      </w:r>
    </w:p>
    <w:p>
      <w:pPr>
        <w:widowControl/>
      </w:pPr>
      <w:r>
        <w:rPr>
          <w:rFonts w:ascii="Carlito" w:hAnsi="Carlito" w:eastAsia="Carlito"/>
        </w:rPr>
        <w:t>Официальная система может организовать равный формат публичного объяснения позиций. Такой формат:</w:t>
      </w:r>
    </w:p>
    <w:p>
      <w:pPr>
        <w:pStyle w:val="ListBullet"/>
        <w:widowControl/>
      </w:pPr>
      <w:r>
        <w:rPr>
          <w:rFonts w:ascii="Carlito" w:hAnsi="Carlito" w:eastAsia="Carlito"/>
        </w:rPr>
        <w:t>не является условием регистрации, если иное не предусмотрено общим правом для всех дебатов;</w:t>
      </w:r>
    </w:p>
    <w:p>
      <w:pPr>
        <w:pStyle w:val="ListBullet"/>
        <w:widowControl/>
      </w:pPr>
      <w:r>
        <w:rPr>
          <w:rFonts w:ascii="Carlito" w:hAnsi="Carlito" w:eastAsia="Carlito"/>
        </w:rPr>
        <w:t>предоставляет равное время;</w:t>
      </w:r>
    </w:p>
    <w:p>
      <w:pPr>
        <w:pStyle w:val="ListBullet"/>
        <w:widowControl/>
      </w:pPr>
      <w:r>
        <w:rPr>
          <w:rFonts w:ascii="Carlito" w:hAnsi="Carlito" w:eastAsia="Carlito"/>
        </w:rPr>
        <w:t>использует одинаковые вопросы;</w:t>
      </w:r>
    </w:p>
    <w:p>
      <w:pPr>
        <w:pStyle w:val="ListBullet"/>
        <w:widowControl/>
      </w:pPr>
      <w:r>
        <w:rPr>
          <w:rFonts w:ascii="Carlito" w:hAnsi="Carlito" w:eastAsia="Carlito"/>
        </w:rPr>
        <w:t>различает вопрос граждан и вопрос модератора;</w:t>
      </w:r>
    </w:p>
    <w:p>
      <w:pPr>
        <w:pStyle w:val="ListBullet"/>
        <w:widowControl/>
      </w:pPr>
      <w:r>
        <w:rPr>
          <w:rFonts w:ascii="Carlito" w:hAnsi="Carlito" w:eastAsia="Carlito"/>
        </w:rPr>
        <w:t>запрещает предварительное согласование выгодных вопросов с отдельным кандидатом;</w:t>
      </w:r>
    </w:p>
    <w:p>
      <w:pPr>
        <w:pStyle w:val="ListBullet"/>
        <w:widowControl/>
      </w:pPr>
      <w:r>
        <w:rPr>
          <w:rFonts w:ascii="Carlito" w:hAnsi="Carlito" w:eastAsia="Carlito"/>
        </w:rPr>
        <w:t>обеспечивает перевод, субтитры и доступность;</w:t>
      </w:r>
    </w:p>
    <w:p>
      <w:pPr>
        <w:pStyle w:val="ListBullet"/>
        <w:widowControl/>
      </w:pPr>
      <w:r>
        <w:rPr>
          <w:rFonts w:ascii="Carlito" w:hAnsi="Carlito" w:eastAsia="Carlito"/>
        </w:rPr>
        <w:t>публикует полную запись и расшифровку;</w:t>
      </w:r>
    </w:p>
    <w:p>
      <w:pPr>
        <w:pStyle w:val="ListBullet"/>
        <w:widowControl/>
      </w:pPr>
      <w:r>
        <w:rPr>
          <w:rFonts w:ascii="Carlito" w:hAnsi="Carlito" w:eastAsia="Carlito"/>
        </w:rPr>
        <w:t>не заменяет подписанную декларацию;</w:t>
      </w:r>
    </w:p>
    <w:p>
      <w:pPr>
        <w:pStyle w:val="ListBullet"/>
        <w:widowControl/>
      </w:pPr>
      <w:r>
        <w:rPr>
          <w:rFonts w:ascii="Carlito" w:hAnsi="Carlito" w:eastAsia="Carlito"/>
        </w:rPr>
        <w:t>позволяет кандидату указать, изменяет ли ответ его официальную позицию.</w:t>
      </w:r>
    </w:p>
    <w:p>
      <w:pPr>
        <w:widowControl/>
      </w:pPr>
      <w:r>
        <w:rPr>
          <w:rFonts w:ascii="Carlito" w:hAnsi="Carlito" w:eastAsia="Carlito"/>
        </w:rPr>
        <w:t>В случае отказа от участия фиксируется только факт отказа. Оператор не формулирует мотив за кандидата.</w:t>
      </w:r>
    </w:p>
    <w:p>
      <w:pPr>
        <w:pStyle w:val="Heading2"/>
        <w:keepNext/>
        <w:keepLines/>
        <w:widowControl/>
      </w:pPr>
      <w:r>
        <w:rPr>
          <w:rFonts w:ascii="Carlito" w:hAnsi="Carlito" w:eastAsia="Carlito"/>
        </w:rPr>
        <w:t>12. Непредставление, неполнота и поздняя подача</w:t>
      </w:r>
    </w:p>
    <w:p>
      <w:pPr>
        <w:widowControl/>
      </w:pPr>
      <w:r>
        <w:rPr>
          <w:rFonts w:ascii="Carlito" w:hAnsi="Carlito" w:eastAsia="Carlito"/>
        </w:rPr>
        <w:t>Если кандидат не представил декларацию, официальный профиль показывает нейтральную формулу: «декларация по общественному мандату не представлена к установленному сроку». Формула не сопровождается моральной оценкой.</w:t>
      </w:r>
    </w:p>
    <w:p>
      <w:pPr>
        <w:widowControl/>
      </w:pPr>
      <w:r>
        <w:rPr>
          <w:rFonts w:ascii="Carlito" w:hAnsi="Carlito" w:eastAsia="Carlito"/>
        </w:rPr>
        <w:t>Если представлена часть ответов, показываются конкретные заполненные и незаполненные поля. Неполнота не превращает весь документ в отказ.</w:t>
      </w:r>
    </w:p>
    <w:p>
      <w:pPr>
        <w:widowControl/>
      </w:pPr>
      <w:r>
        <w:rPr>
          <w:rFonts w:ascii="Carlito" w:hAnsi="Carlito" w:eastAsia="Carlito"/>
        </w:rPr>
        <w:t>Поздняя декларация публикуется с датой и статусом. Она не стирает период отсутствия ответа. После окончательной даты изменения допускаются только в порядке, установленном главой XX, и не должны давать кандидату преимущество от ожидания ответов конкурентов.</w:t>
      </w:r>
    </w:p>
    <w:p>
      <w:pPr>
        <w:pStyle w:val="Heading2"/>
        <w:keepNext/>
        <w:keepLines/>
        <w:widowControl/>
      </w:pPr>
      <w:r>
        <w:rPr>
          <w:rFonts w:ascii="Carlito" w:hAnsi="Carlito" w:eastAsia="Carlito"/>
        </w:rPr>
        <w:t>13. Равенство кандидатов и административный ресурс</w:t>
      </w:r>
    </w:p>
    <w:p>
      <w:pPr>
        <w:widowControl/>
      </w:pPr>
      <w:r>
        <w:rPr>
          <w:rFonts w:ascii="Carlito" w:hAnsi="Carlito" w:eastAsia="Carlito"/>
        </w:rPr>
        <w:t>Действующий должностной субъект не вправе использовать государственные данные, служебные каналы и бюджетную коммуникацию для преимущественного продвижения собственной декларации. Обязательны:</w:t>
      </w:r>
    </w:p>
    <w:p>
      <w:pPr>
        <w:pStyle w:val="ListBullet"/>
        <w:widowControl/>
      </w:pPr>
      <w:r>
        <w:rPr>
          <w:rFonts w:ascii="Carlito" w:hAnsi="Carlito" w:eastAsia="Carlito"/>
        </w:rPr>
        <w:t>отделение официального профиля кандидата от правительственной отчётности;</w:t>
      </w:r>
    </w:p>
    <w:p>
      <w:pPr>
        <w:pStyle w:val="ListBullet"/>
        <w:widowControl/>
      </w:pPr>
      <w:r>
        <w:rPr>
          <w:rFonts w:ascii="Carlito" w:hAnsi="Carlito" w:eastAsia="Carlito"/>
        </w:rPr>
        <w:t>единые сроки доступа к данным;</w:t>
      </w:r>
    </w:p>
    <w:p>
      <w:pPr>
        <w:pStyle w:val="ListBullet"/>
        <w:widowControl/>
      </w:pPr>
      <w:r>
        <w:rPr>
          <w:rFonts w:ascii="Carlito" w:hAnsi="Carlito" w:eastAsia="Carlito"/>
        </w:rPr>
        <w:t>публикация запросов кандидатов к органам власти и ответов, если это не нарушает охраняемую тайну;</w:t>
      </w:r>
    </w:p>
    <w:p>
      <w:pPr>
        <w:pStyle w:val="ListBullet"/>
        <w:widowControl/>
      </w:pPr>
      <w:r>
        <w:rPr>
          <w:rFonts w:ascii="Carlito" w:hAnsi="Carlito" w:eastAsia="Carlito"/>
        </w:rPr>
        <w:t>запрет предоставлять одному штабу непубличные расчёты, не доступные другим;</w:t>
      </w:r>
    </w:p>
    <w:p>
      <w:pPr>
        <w:pStyle w:val="ListBullet"/>
        <w:widowControl/>
      </w:pPr>
      <w:r>
        <w:rPr>
          <w:rFonts w:ascii="Carlito" w:hAnsi="Carlito" w:eastAsia="Carlito"/>
        </w:rPr>
        <w:t>маркировка материалов, созданных за счёт бюджета;</w:t>
      </w:r>
    </w:p>
    <w:p>
      <w:pPr>
        <w:pStyle w:val="ListBullet"/>
        <w:widowControl/>
      </w:pPr>
      <w:r>
        <w:rPr>
          <w:rFonts w:ascii="Carlito" w:hAnsi="Carlito" w:eastAsia="Carlito"/>
        </w:rPr>
        <w:t>отдельный аудит использования государственных информационных ресурсов;</w:t>
      </w:r>
    </w:p>
    <w:p>
      <w:pPr>
        <w:pStyle w:val="ListBullet"/>
        <w:widowControl/>
      </w:pPr>
      <w:r>
        <w:rPr>
          <w:rFonts w:ascii="Carlito" w:hAnsi="Carlito" w:eastAsia="Carlito"/>
        </w:rPr>
        <w:t>быстрое обжалование неравного доступа.</w:t>
      </w:r>
    </w:p>
    <w:p>
      <w:pPr>
        <w:widowControl/>
      </w:pPr>
      <w:r>
        <w:rPr>
          <w:rFonts w:ascii="Carlito" w:hAnsi="Carlito" w:eastAsia="Carlito"/>
        </w:rPr>
        <w:t>Исполнение должностных обязанностей не запрещается, но государственная коммуникация не может незаметно превращаться в официальный комментарий к общественному мандату в интересах одного кандидата.</w:t>
      </w:r>
    </w:p>
    <w:p>
      <w:pPr>
        <w:pStyle w:val="Heading2"/>
        <w:keepNext/>
        <w:keepLines/>
        <w:widowControl/>
      </w:pPr>
      <w:r>
        <w:rPr>
          <w:rFonts w:ascii="Carlito" w:hAnsi="Carlito" w:eastAsia="Carlito"/>
        </w:rPr>
        <w:t>14. Внешние ссылки, аналитические сервисы и синтетические материалы</w:t>
      </w:r>
    </w:p>
    <w:p>
      <w:pPr>
        <w:widowControl/>
      </w:pPr>
      <w:r>
        <w:rPr>
          <w:rFonts w:ascii="Carlito" w:hAnsi="Carlito" w:eastAsia="Carlito"/>
        </w:rPr>
        <w:t>Официальная платформа может предоставлять каталог внешних материалов при соблюдении равных и заранее опубликованных критериев. Каталог не является одобрением содержания.</w:t>
      </w:r>
    </w:p>
    <w:p>
      <w:pPr>
        <w:widowControl/>
      </w:pPr>
      <w:r>
        <w:rPr>
          <w:rFonts w:ascii="Carlito" w:hAnsi="Carlito" w:eastAsia="Carlito"/>
        </w:rPr>
        <w:t>Синтетические изображения, голосовые записи и видео, размещаемые в официальном контуре, должны иметь проверяемое происхождение и явную маркировку. Поддельное представление кандидата не публикуется как его позиция. Спорная сатира и политическое творчество остаются вне официального профиля и регулируются общим правом.</w:t>
      </w:r>
    </w:p>
    <w:p>
      <w:pPr>
        <w:widowControl/>
      </w:pPr>
      <w:r>
        <w:rPr>
          <w:rFonts w:ascii="Carlito" w:hAnsi="Carlito" w:eastAsia="Carlito"/>
        </w:rPr>
        <w:t>Алгоритм формирования каталога, критерии включения и журнал исключений доступны для аудита. Коммерческий платёж не влияет на видимость.</w:t>
      </w:r>
    </w:p>
    <w:p>
      <w:pPr>
        <w:pStyle w:val="Heading2"/>
        <w:keepNext/>
        <w:keepLines/>
        <w:widowControl/>
      </w:pPr>
      <w:r>
        <w:rPr>
          <w:rFonts w:ascii="Carlito" w:hAnsi="Carlito" w:eastAsia="Carlito"/>
        </w:rPr>
        <w:t>15. Доступность, языки и недигитальные каналы</w:t>
      </w:r>
    </w:p>
    <w:p>
      <w:pPr>
        <w:widowControl/>
      </w:pPr>
      <w:r>
        <w:rPr>
          <w:rFonts w:ascii="Carlito" w:hAnsi="Carlito" w:eastAsia="Carlito"/>
        </w:rPr>
        <w:t>Официальная информация предоставляется:</w:t>
      </w:r>
    </w:p>
    <w:p>
      <w:pPr>
        <w:pStyle w:val="ListBullet"/>
        <w:widowControl/>
      </w:pPr>
      <w:r>
        <w:rPr>
          <w:rFonts w:ascii="Carlito" w:hAnsi="Carlito" w:eastAsia="Carlito"/>
        </w:rPr>
        <w:t>в цифровом и очном формате;</w:t>
      </w:r>
    </w:p>
    <w:p>
      <w:pPr>
        <w:pStyle w:val="ListBullet"/>
        <w:widowControl/>
      </w:pPr>
      <w:r>
        <w:rPr>
          <w:rFonts w:ascii="Carlito" w:hAnsi="Carlito" w:eastAsia="Carlito"/>
        </w:rPr>
        <w:t>в доступных форматах для лиц с инвалидностью;</w:t>
      </w:r>
    </w:p>
    <w:p>
      <w:pPr>
        <w:pStyle w:val="ListBullet"/>
        <w:widowControl/>
      </w:pPr>
      <w:r>
        <w:rPr>
          <w:rFonts w:ascii="Carlito" w:hAnsi="Carlito" w:eastAsia="Carlito"/>
        </w:rPr>
        <w:t>на языках, требуемых национальным правом и фактической структурой участия;</w:t>
      </w:r>
    </w:p>
    <w:p>
      <w:pPr>
        <w:pStyle w:val="ListBullet"/>
        <w:widowControl/>
      </w:pPr>
      <w:r>
        <w:rPr>
          <w:rFonts w:ascii="Carlito" w:hAnsi="Carlito" w:eastAsia="Carlito"/>
        </w:rPr>
        <w:t>в краткой и полной версии;</w:t>
      </w:r>
    </w:p>
    <w:p>
      <w:pPr>
        <w:pStyle w:val="ListBullet"/>
        <w:widowControl/>
      </w:pPr>
      <w:r>
        <w:rPr>
          <w:rFonts w:ascii="Carlito" w:hAnsi="Carlito" w:eastAsia="Carlito"/>
        </w:rPr>
        <w:t>в виде, пригодном для печати;</w:t>
      </w:r>
    </w:p>
    <w:p>
      <w:pPr>
        <w:pStyle w:val="ListBullet"/>
        <w:widowControl/>
      </w:pPr>
      <w:r>
        <w:rPr>
          <w:rFonts w:ascii="Carlito" w:hAnsi="Carlito" w:eastAsia="Carlito"/>
        </w:rPr>
        <w:t>через бесплатные точки доступа;</w:t>
      </w:r>
    </w:p>
    <w:p>
      <w:pPr>
        <w:pStyle w:val="ListBullet"/>
        <w:widowControl/>
      </w:pPr>
      <w:r>
        <w:rPr>
          <w:rFonts w:ascii="Carlito" w:hAnsi="Carlito" w:eastAsia="Carlito"/>
        </w:rPr>
        <w:t>без необходимости раскрывать политический интерес сотруднику точки доступа.</w:t>
      </w:r>
    </w:p>
    <w:p>
      <w:pPr>
        <w:widowControl/>
      </w:pPr>
      <w:r>
        <w:rPr>
          <w:rFonts w:ascii="Carlito" w:hAnsi="Carlito" w:eastAsia="Carlito"/>
        </w:rPr>
        <w:t>Помощь гражданину ограничивается навигацией и техническим доступом. Посредник не выбирает фильтры, не сохраняет просмотр и не предлагает политический вывод.</w:t>
      </w:r>
    </w:p>
    <w:p>
      <w:pPr>
        <w:pStyle w:val="Heading2"/>
        <w:keepNext/>
        <w:keepLines/>
        <w:widowControl/>
      </w:pPr>
      <w:r>
        <w:rPr>
          <w:rFonts w:ascii="Carlito" w:hAnsi="Carlito" w:eastAsia="Carlito"/>
        </w:rPr>
        <w:t>16. Политическая приватность пользователя</w:t>
      </w:r>
    </w:p>
    <w:p>
      <w:pPr>
        <w:widowControl/>
      </w:pPr>
      <w:r>
        <w:rPr>
          <w:rFonts w:ascii="Carlito" w:hAnsi="Carlito" w:eastAsia="Carlito"/>
        </w:rPr>
        <w:t>История просмотра, сравнения, поиска, скачивания и использования фильтров относится к политически чувствительным данным. Официальная система проектируется так, чтобы:</w:t>
      </w:r>
    </w:p>
    <w:p>
      <w:pPr>
        <w:pStyle w:val="ListBullet"/>
        <w:widowControl/>
      </w:pPr>
      <w:r>
        <w:rPr>
          <w:rFonts w:ascii="Carlito" w:hAnsi="Carlito" w:eastAsia="Carlito"/>
        </w:rPr>
        <w:t>не требовать идентификации для обычного чтения;</w:t>
      </w:r>
    </w:p>
    <w:p>
      <w:pPr>
        <w:pStyle w:val="ListBullet"/>
        <w:widowControl/>
      </w:pPr>
      <w:r>
        <w:rPr>
          <w:rFonts w:ascii="Carlito" w:hAnsi="Carlito" w:eastAsia="Carlito"/>
        </w:rPr>
        <w:t>не связывать просмотр с реестром участников;</w:t>
      </w:r>
    </w:p>
    <w:p>
      <w:pPr>
        <w:pStyle w:val="ListBullet"/>
        <w:widowControl/>
      </w:pPr>
      <w:r>
        <w:rPr>
          <w:rFonts w:ascii="Carlito" w:hAnsi="Carlito" w:eastAsia="Carlito"/>
        </w:rPr>
        <w:t>не создавать персональный рейтинг предпочтений;</w:t>
      </w:r>
    </w:p>
    <w:p>
      <w:pPr>
        <w:pStyle w:val="ListBullet"/>
        <w:widowControl/>
      </w:pPr>
      <w:r>
        <w:rPr>
          <w:rFonts w:ascii="Carlito" w:hAnsi="Carlito" w:eastAsia="Carlito"/>
        </w:rPr>
        <w:t>не передавать данные рекламным системам;</w:t>
      </w:r>
    </w:p>
    <w:p>
      <w:pPr>
        <w:pStyle w:val="ListBullet"/>
        <w:widowControl/>
      </w:pPr>
      <w:r>
        <w:rPr>
          <w:rFonts w:ascii="Carlito" w:hAnsi="Carlito" w:eastAsia="Carlito"/>
        </w:rPr>
        <w:t>не использовать внешние трекеры;</w:t>
      </w:r>
    </w:p>
    <w:p>
      <w:pPr>
        <w:pStyle w:val="ListBullet"/>
        <w:widowControl/>
      </w:pPr>
      <w:r>
        <w:rPr>
          <w:rFonts w:ascii="Carlito" w:hAnsi="Carlito" w:eastAsia="Carlito"/>
        </w:rPr>
        <w:t>минимизировать журналы и сроки хранения;</w:t>
      </w:r>
    </w:p>
    <w:p>
      <w:pPr>
        <w:pStyle w:val="ListBullet"/>
        <w:widowControl/>
      </w:pPr>
      <w:r>
        <w:rPr>
          <w:rFonts w:ascii="Carlito" w:hAnsi="Carlito" w:eastAsia="Carlito"/>
        </w:rPr>
        <w:t>применять агрегированную статистику только после проверки риска повторной идентификации;</w:t>
      </w:r>
    </w:p>
    <w:p>
      <w:pPr>
        <w:pStyle w:val="ListBullet"/>
        <w:widowControl/>
      </w:pPr>
      <w:r>
        <w:rPr>
          <w:rFonts w:ascii="Carlito" w:hAnsi="Carlito" w:eastAsia="Carlito"/>
        </w:rPr>
        <w:t>обеспечивать локальное выполнение персональных фильтров, где это возможно;</w:t>
      </w:r>
    </w:p>
    <w:p>
      <w:pPr>
        <w:pStyle w:val="ListBullet"/>
        <w:widowControl/>
      </w:pPr>
      <w:r>
        <w:rPr>
          <w:rFonts w:ascii="Carlito" w:hAnsi="Carlito" w:eastAsia="Carlito"/>
        </w:rPr>
        <w:t>запрещать использование истории просмотра в трудовых, налоговых, социальных, правоохранительных или кампанийных решениях.</w:t>
      </w:r>
    </w:p>
    <w:p>
      <w:pPr>
        <w:widowControl/>
      </w:pPr>
      <w:r>
        <w:rPr>
          <w:rFonts w:ascii="Carlito" w:hAnsi="Carlito" w:eastAsia="Carlito"/>
        </w:rPr>
        <w:t>Исключения для безопасности допускаются только по узким основаниям, не должны раскрывать содержание политического интереса и подлежат многостороннему контролю согласно главе XXXVII.</w:t>
      </w:r>
    </w:p>
    <w:p>
      <w:pPr>
        <w:pStyle w:val="Heading2"/>
        <w:keepNext/>
        <w:keepLines/>
        <w:widowControl/>
      </w:pPr>
      <w:r>
        <w:rPr>
          <w:rFonts w:ascii="Carlito" w:hAnsi="Carlito" w:eastAsia="Carlito"/>
        </w:rPr>
        <w:t>17. Жалобы, исправления и срочное рассмотрение</w:t>
      </w:r>
    </w:p>
    <w:p>
      <w:pPr>
        <w:widowControl/>
      </w:pPr>
      <w:r>
        <w:rPr>
          <w:rFonts w:ascii="Carlito" w:hAnsi="Carlito" w:eastAsia="Carlito"/>
        </w:rPr>
        <w:t>Кандидат, гражданин и наблюдатель вправе обжаловать:</w:t>
      </w:r>
    </w:p>
    <w:p>
      <w:pPr>
        <w:pStyle w:val="ListBullet"/>
        <w:widowControl/>
      </w:pPr>
      <w:r>
        <w:rPr>
          <w:rFonts w:ascii="Carlito" w:hAnsi="Carlito" w:eastAsia="Carlito"/>
        </w:rPr>
        <w:t>фактическую ошибку;</w:t>
      </w:r>
    </w:p>
    <w:p>
      <w:pPr>
        <w:pStyle w:val="ListBullet"/>
        <w:widowControl/>
      </w:pPr>
      <w:r>
        <w:rPr>
          <w:rFonts w:ascii="Carlito" w:hAnsi="Carlito" w:eastAsia="Carlito"/>
        </w:rPr>
        <w:t>искажение полного ответа;</w:t>
      </w:r>
    </w:p>
    <w:p>
      <w:pPr>
        <w:pStyle w:val="ListBullet"/>
        <w:widowControl/>
      </w:pPr>
      <w:r>
        <w:rPr>
          <w:rFonts w:ascii="Carlito" w:hAnsi="Carlito" w:eastAsia="Carlito"/>
        </w:rPr>
        <w:t>неравный порядок показа;</w:t>
      </w:r>
    </w:p>
    <w:p>
      <w:pPr>
        <w:pStyle w:val="ListBullet"/>
        <w:widowControl/>
      </w:pPr>
      <w:r>
        <w:rPr>
          <w:rFonts w:ascii="Carlito" w:hAnsi="Carlito" w:eastAsia="Carlito"/>
        </w:rPr>
        <w:t>скрытый рейтинг;</w:t>
      </w:r>
    </w:p>
    <w:p>
      <w:pPr>
        <w:pStyle w:val="ListBullet"/>
        <w:widowControl/>
      </w:pPr>
      <w:r>
        <w:rPr>
          <w:rFonts w:ascii="Carlito" w:hAnsi="Carlito" w:eastAsia="Carlito"/>
        </w:rPr>
        <w:t>отсутствие доступности;</w:t>
      </w:r>
    </w:p>
    <w:p>
      <w:pPr>
        <w:pStyle w:val="ListBullet"/>
        <w:widowControl/>
      </w:pPr>
      <w:r>
        <w:rPr>
          <w:rFonts w:ascii="Carlito" w:hAnsi="Carlito" w:eastAsia="Carlito"/>
        </w:rPr>
        <w:t>утрату версии;</w:t>
      </w:r>
    </w:p>
    <w:p>
      <w:pPr>
        <w:pStyle w:val="ListBullet"/>
        <w:widowControl/>
      </w:pPr>
      <w:r>
        <w:rPr>
          <w:rFonts w:ascii="Carlito" w:hAnsi="Carlito" w:eastAsia="Carlito"/>
        </w:rPr>
        <w:t>незаконную обработку данных;</w:t>
      </w:r>
    </w:p>
    <w:p>
      <w:pPr>
        <w:pStyle w:val="ListBullet"/>
        <w:widowControl/>
      </w:pPr>
      <w:r>
        <w:rPr>
          <w:rFonts w:ascii="Carlito" w:hAnsi="Carlito" w:eastAsia="Carlito"/>
        </w:rPr>
        <w:t>дискриминационный интерфейс;</w:t>
      </w:r>
    </w:p>
    <w:p>
      <w:pPr>
        <w:pStyle w:val="ListBullet"/>
        <w:widowControl/>
      </w:pPr>
      <w:r>
        <w:rPr>
          <w:rFonts w:ascii="Carlito" w:hAnsi="Carlito" w:eastAsia="Carlito"/>
        </w:rPr>
        <w:t>несвоевременную публикацию;</w:t>
      </w:r>
    </w:p>
    <w:p>
      <w:pPr>
        <w:pStyle w:val="ListBullet"/>
        <w:widowControl/>
      </w:pPr>
      <w:r>
        <w:rPr>
          <w:rFonts w:ascii="Carlito" w:hAnsi="Carlito" w:eastAsia="Carlito"/>
        </w:rPr>
        <w:t>вмешательство административного ресурса.</w:t>
      </w:r>
    </w:p>
    <w:p>
      <w:pPr>
        <w:widowControl/>
      </w:pPr>
      <w:r>
        <w:rPr>
          <w:rFonts w:ascii="Carlito" w:hAnsi="Carlito" w:eastAsia="Carlito"/>
        </w:rPr>
        <w:t>Жалобы на фактическую ошибку и равенство показа рассматриваются в сокращённый срок. Временная мера должна быть минимальной: предпочтительнее предупреждение и параллельное отображение спорной информации, чем удаление карточки. Окончательное судебное решение не может быть подменено решением технического оператора.</w:t>
      </w:r>
    </w:p>
    <w:p>
      <w:pPr>
        <w:pStyle w:val="Heading2"/>
        <w:keepNext/>
        <w:keepLines/>
        <w:widowControl/>
      </w:pPr>
      <w:r>
        <w:rPr>
          <w:rFonts w:ascii="Carlito" w:hAnsi="Carlito" w:eastAsia="Carlito"/>
        </w:rPr>
        <w:t>18. Аудит и проверяемость</w:t>
      </w:r>
    </w:p>
    <w:p>
      <w:pPr>
        <w:widowControl/>
      </w:pPr>
      <w:r>
        <w:rPr>
          <w:rFonts w:ascii="Carlito" w:hAnsi="Carlito" w:eastAsia="Carlito"/>
        </w:rPr>
        <w:t>До запуска и после каждого цикла проводятся независимые аудиты:</w:t>
      </w:r>
    </w:p>
    <w:p>
      <w:pPr>
        <w:pStyle w:val="ListBullet"/>
        <w:widowControl/>
      </w:pPr>
      <w:r>
        <w:rPr>
          <w:rFonts w:ascii="Carlito" w:hAnsi="Carlito" w:eastAsia="Carlito"/>
        </w:rPr>
        <w:t>правовой нейтральности;</w:t>
      </w:r>
    </w:p>
    <w:p>
      <w:pPr>
        <w:pStyle w:val="ListBullet"/>
        <w:widowControl/>
      </w:pPr>
      <w:r>
        <w:rPr>
          <w:rFonts w:ascii="Carlito" w:hAnsi="Carlito" w:eastAsia="Carlito"/>
        </w:rPr>
        <w:t>доступности;</w:t>
      </w:r>
    </w:p>
    <w:p>
      <w:pPr>
        <w:pStyle w:val="ListBullet"/>
        <w:widowControl/>
      </w:pPr>
      <w:r>
        <w:rPr>
          <w:rFonts w:ascii="Carlito" w:hAnsi="Carlito" w:eastAsia="Carlito"/>
        </w:rPr>
        <w:t>пользовательского пути;</w:t>
      </w:r>
    </w:p>
    <w:p>
      <w:pPr>
        <w:pStyle w:val="ListBullet"/>
        <w:widowControl/>
      </w:pPr>
      <w:r>
        <w:rPr>
          <w:rFonts w:ascii="Carlito" w:hAnsi="Carlito" w:eastAsia="Carlito"/>
        </w:rPr>
        <w:t>алгоритмического ранжирования;</w:t>
      </w:r>
    </w:p>
    <w:p>
      <w:pPr>
        <w:pStyle w:val="ListBullet"/>
        <w:widowControl/>
      </w:pPr>
      <w:r>
        <w:rPr>
          <w:rFonts w:ascii="Carlito" w:hAnsi="Carlito" w:eastAsia="Carlito"/>
        </w:rPr>
        <w:t>политического подталкивания;</w:t>
      </w:r>
    </w:p>
    <w:p>
      <w:pPr>
        <w:pStyle w:val="ListBullet"/>
        <w:widowControl/>
      </w:pPr>
      <w:r>
        <w:rPr>
          <w:rFonts w:ascii="Carlito" w:hAnsi="Carlito" w:eastAsia="Carlito"/>
        </w:rPr>
        <w:t>информационной безопасности;</w:t>
      </w:r>
    </w:p>
    <w:p>
      <w:pPr>
        <w:pStyle w:val="ListBullet"/>
        <w:widowControl/>
      </w:pPr>
      <w:r>
        <w:rPr>
          <w:rFonts w:ascii="Carlito" w:hAnsi="Carlito" w:eastAsia="Carlito"/>
        </w:rPr>
        <w:t>политической приватности;</w:t>
      </w:r>
    </w:p>
    <w:p>
      <w:pPr>
        <w:pStyle w:val="ListBullet"/>
        <w:widowControl/>
      </w:pPr>
      <w:r>
        <w:rPr>
          <w:rFonts w:ascii="Carlito" w:hAnsi="Carlito" w:eastAsia="Carlito"/>
        </w:rPr>
        <w:t>равенства времени публикации;</w:t>
      </w:r>
    </w:p>
    <w:p>
      <w:pPr>
        <w:pStyle w:val="ListBullet"/>
        <w:widowControl/>
      </w:pPr>
      <w:r>
        <w:rPr>
          <w:rFonts w:ascii="Carlito" w:hAnsi="Carlito" w:eastAsia="Carlito"/>
        </w:rPr>
        <w:t>корректности переводов;</w:t>
      </w:r>
    </w:p>
    <w:p>
      <w:pPr>
        <w:pStyle w:val="ListBullet"/>
        <w:widowControl/>
      </w:pPr>
      <w:r>
        <w:rPr>
          <w:rFonts w:ascii="Carlito" w:hAnsi="Carlito" w:eastAsia="Carlito"/>
        </w:rPr>
        <w:t>архивной неизменности.</w:t>
      </w:r>
    </w:p>
    <w:p>
      <w:pPr>
        <w:widowControl/>
      </w:pPr>
      <w:r>
        <w:rPr>
          <w:rFonts w:ascii="Carlito" w:hAnsi="Carlito" w:eastAsia="Carlito"/>
        </w:rPr>
        <w:t>Исходный код критических компонентов, спецификации, наборы тестов и результаты исправлений публикуются в объёме, совместимом с безопасностью. Закрытая часть не может скрывать правила политического отображения.</w:t>
      </w:r>
    </w:p>
    <w:p>
      <w:pPr>
        <w:pStyle w:val="Heading2"/>
        <w:keepNext/>
        <w:keepLines/>
        <w:widowControl/>
      </w:pPr>
      <w:r>
        <w:rPr>
          <w:rFonts w:ascii="Carlito" w:hAnsi="Carlito" w:eastAsia="Carlito"/>
        </w:rPr>
        <w:t>19. Показатели качества и основания остановки</w:t>
      </w:r>
    </w:p>
    <w:p>
      <w:pPr>
        <w:widowControl/>
      </w:pPr>
      <w:r>
        <w:rPr>
          <w:rFonts w:ascii="Carlito" w:hAnsi="Carlito" w:eastAsia="Carlito"/>
        </w:rPr>
        <w:t>Качество официального информирования измеряется не количеством просмотров, а как минимум следующими показателями:</w:t>
      </w:r>
    </w:p>
    <w:p>
      <w:pPr>
        <w:pStyle w:val="ListBullet"/>
        <w:widowControl/>
      </w:pPr>
      <w:r>
        <w:rPr>
          <w:rFonts w:ascii="Carlito" w:hAnsi="Carlito" w:eastAsia="Carlito"/>
        </w:rPr>
        <w:t>понимают ли граждане различие между общественным мандатом, декларацией кандидата и юридическим актом;</w:t>
      </w:r>
    </w:p>
    <w:p>
      <w:pPr>
        <w:pStyle w:val="ListBullet"/>
        <w:widowControl/>
      </w:pPr>
      <w:r>
        <w:rPr>
          <w:rFonts w:ascii="Carlito" w:hAnsi="Carlito" w:eastAsia="Carlito"/>
        </w:rPr>
        <w:t>способны ли они найти полный текст;</w:t>
      </w:r>
    </w:p>
    <w:p>
      <w:pPr>
        <w:pStyle w:val="ListBullet"/>
        <w:widowControl/>
      </w:pPr>
      <w:r>
        <w:rPr>
          <w:rFonts w:ascii="Carlito" w:hAnsi="Carlito" w:eastAsia="Carlito"/>
        </w:rPr>
        <w:t>одинаково ли доступны кандидаты;</w:t>
      </w:r>
    </w:p>
    <w:p>
      <w:pPr>
        <w:pStyle w:val="ListBullet"/>
        <w:widowControl/>
      </w:pPr>
      <w:r>
        <w:rPr>
          <w:rFonts w:ascii="Carlito" w:hAnsi="Carlito" w:eastAsia="Carlito"/>
        </w:rPr>
        <w:t>не меняет ли порядок показа политический выбор;</w:t>
      </w:r>
    </w:p>
    <w:p>
      <w:pPr>
        <w:pStyle w:val="ListBullet"/>
        <w:widowControl/>
      </w:pPr>
      <w:r>
        <w:rPr>
          <w:rFonts w:ascii="Carlito" w:hAnsi="Carlito" w:eastAsia="Carlito"/>
        </w:rPr>
        <w:t>имеются ли устойчивые различия по языку, возрасту, инвалидности, территории и цифровому доступу;</w:t>
      </w:r>
    </w:p>
    <w:p>
      <w:pPr>
        <w:pStyle w:val="ListBullet"/>
        <w:widowControl/>
      </w:pPr>
      <w:r>
        <w:rPr>
          <w:rFonts w:ascii="Carlito" w:hAnsi="Carlito" w:eastAsia="Carlito"/>
        </w:rPr>
        <w:t>сколько обоснованных ошибок и жалоб выявлено;</w:t>
      </w:r>
    </w:p>
    <w:p>
      <w:pPr>
        <w:pStyle w:val="ListBullet"/>
        <w:widowControl/>
      </w:pPr>
      <w:r>
        <w:rPr>
          <w:rFonts w:ascii="Carlito" w:hAnsi="Carlito" w:eastAsia="Carlito"/>
        </w:rPr>
        <w:t>можно ли воспроизвести интерфейс и данные на дату голосования;</w:t>
      </w:r>
    </w:p>
    <w:p>
      <w:pPr>
        <w:pStyle w:val="ListBullet"/>
        <w:widowControl/>
      </w:pPr>
      <w:r>
        <w:rPr>
          <w:rFonts w:ascii="Carlito" w:hAnsi="Carlito" w:eastAsia="Carlito"/>
        </w:rPr>
        <w:t>соблюдена ли политическая приватность;</w:t>
      </w:r>
    </w:p>
    <w:p>
      <w:pPr>
        <w:pStyle w:val="ListBullet"/>
        <w:widowControl/>
      </w:pPr>
      <w:r>
        <w:rPr>
          <w:rFonts w:ascii="Carlito" w:hAnsi="Carlito" w:eastAsia="Carlito"/>
        </w:rPr>
        <w:t>снизилось ли число искажённых сравнений без сокращения свободы дискуссии.</w:t>
      </w:r>
    </w:p>
    <w:p>
      <w:pPr>
        <w:widowControl/>
      </w:pPr>
      <w:r>
        <w:rPr>
          <w:rFonts w:ascii="Carlito" w:hAnsi="Carlito" w:eastAsia="Carlito"/>
        </w:rPr>
        <w:t>Пилот приостанавливается, если нейтральность, доступность или приватность не могут быть доказаны, а исправление требует скрытого профилирования либо официального рейтинга.</w:t>
      </w:r>
    </w:p>
    <w:p>
      <w:pPr>
        <w:widowControl/>
      </w:pPr>
      <w:r>
        <w:t>Официальное сравнение не содержит итогового балла присоединения, рейтинга добросовестности или визуального наказания за непринятие. Оно показывает исходный текст, формальную категорию, полный ответ, условия, альтернативы и историю версий.</w:t>
      </w:r>
    </w:p>
    <w:p>
      <w:pPr>
        <w:widowControl/>
      </w:pPr>
      <w:r>
        <w:t>Дополнительные темы кандидатов отображаются в равном отдельном разделе. Интерфейс не представляет общественный мандат как исчерпывающую программу выборов.</w:t>
      </w:r>
    </w:p>
    <w:p>
      <w:pPr>
        <w:widowControl/>
      </w:pPr>
      <w:r>
        <w:t>Малым кандидатам предоставляются одинаковые данные, бесплатная нейтральная помощь и достаточный срок. Коллективный бойкот показывается как факт без подмены выборов и без официального вывода причин.</w:t>
      </w:r>
    </w:p>
    <w:p>
      <w:pPr>
        <w:pStyle w:val="Heading2"/>
        <w:keepNext/>
        <w:keepLines/>
        <w:widowControl/>
      </w:pPr>
      <w:r>
        <w:rPr>
          <w:rFonts w:ascii="Carlito" w:hAnsi="Carlito" w:eastAsia="Carlito"/>
        </w:rPr>
        <w:t>20. Наиболее сильные возражения и встроенные ответы</w:t>
      </w:r>
    </w:p>
    <w:p>
      <w:pPr>
        <w:pStyle w:val="Heading3"/>
        <w:keepNext/>
        <w:keepLines/>
        <w:widowControl/>
      </w:pPr>
      <w:r>
        <w:rPr>
          <w:rFonts w:ascii="Carlito" w:hAnsi="Carlito" w:eastAsia="Carlito"/>
        </w:rPr>
        <w:t>20.1. «Официальное сравнение неизбежно манипулирует»</w:t>
      </w:r>
    </w:p>
    <w:p>
      <w:pPr>
        <w:widowControl/>
      </w:pPr>
      <w:r>
        <w:rPr>
          <w:rFonts w:ascii="Carlito" w:hAnsi="Carlito" w:eastAsia="Carlito"/>
        </w:rPr>
        <w:t>Полностью устранить влияние интерфейса невозможно. Риск ограничивается запретом рейтинга, равным дизайном, ротацией, раскрытием методики, независимым аудит пользовательского интерфейсаом, сохранением полного текста и возможностью гражданина менять порядок просмотра.</w:t>
      </w:r>
    </w:p>
    <w:p>
      <w:pPr>
        <w:pStyle w:val="Heading3"/>
        <w:keepNext/>
        <w:keepLines/>
        <w:widowControl/>
      </w:pPr>
      <w:r>
        <w:rPr>
          <w:rFonts w:ascii="Carlito" w:hAnsi="Carlito" w:eastAsia="Carlito"/>
        </w:rPr>
        <w:t>20.2. «Сам факт отдельной карточки создаёт государственный экзамен»</w:t>
      </w:r>
    </w:p>
    <w:p>
      <w:pPr>
        <w:widowControl/>
      </w:pPr>
      <w:r>
        <w:rPr>
          <w:rFonts w:ascii="Carlito" w:hAnsi="Carlito" w:eastAsia="Carlito"/>
        </w:rPr>
        <w:t>Карточка не определяет допуск и не оценивает правильность. Она обеспечивает одинаковую публичность уже возникшей обязанности кандидата открыто отнестись к общественному мандату.</w:t>
      </w:r>
    </w:p>
    <w:p>
      <w:pPr>
        <w:pStyle w:val="Heading3"/>
        <w:keepNext/>
        <w:keepLines/>
        <w:widowControl/>
      </w:pPr>
      <w:r>
        <w:rPr>
          <w:rFonts w:ascii="Carlito" w:hAnsi="Carlito" w:eastAsia="Carlito"/>
        </w:rPr>
        <w:t>20.3. «Нейтральная платформа всё равно выгодна действующей власти»</w:t>
      </w:r>
    </w:p>
    <w:p>
      <w:pPr>
        <w:widowControl/>
      </w:pPr>
      <w:r>
        <w:rPr>
          <w:rFonts w:ascii="Carlito" w:hAnsi="Carlito" w:eastAsia="Carlito"/>
        </w:rPr>
        <w:t>Использование административного ресурса отделяется от общей карточки; доступ к данным и сроки равны; порядок отображения не контролируется правительством; нарушения быстро обжалуются.</w:t>
      </w:r>
    </w:p>
    <w:p>
      <w:pPr>
        <w:pStyle w:val="Heading3"/>
        <w:keepNext/>
        <w:keepLines/>
        <w:widowControl/>
      </w:pPr>
      <w:r>
        <w:rPr>
          <w:rFonts w:ascii="Carlito" w:hAnsi="Carlito" w:eastAsia="Carlito"/>
        </w:rPr>
        <w:t>20.4. «Без рейтинга гражданину трудно ориентироваться»</w:t>
      </w:r>
    </w:p>
    <w:p>
      <w:pPr>
        <w:widowControl/>
      </w:pPr>
      <w:r>
        <w:rPr>
          <w:rFonts w:ascii="Carlito" w:hAnsi="Carlito" w:eastAsia="Carlito"/>
        </w:rPr>
        <w:t>Доктрина предпочитает несколько понятных полей ложной точности единого балла. Независимые организации вправе строить собственные рейтинги при раскрытии методики, но государство не придаёт им официальный статус.</w:t>
      </w:r>
    </w:p>
    <w:p>
      <w:pPr>
        <w:pStyle w:val="Heading3"/>
        <w:keepNext/>
        <w:keepLines/>
        <w:widowControl/>
      </w:pPr>
      <w:r>
        <w:rPr>
          <w:rFonts w:ascii="Carlito" w:hAnsi="Carlito" w:eastAsia="Carlito"/>
        </w:rPr>
        <w:t>20.5. «Политическая приватность мешает измерять качество»</w:t>
      </w:r>
    </w:p>
    <w:p>
      <w:pPr>
        <w:widowControl/>
      </w:pPr>
      <w:r>
        <w:rPr>
          <w:rFonts w:ascii="Carlito" w:hAnsi="Carlito" w:eastAsia="Carlito"/>
        </w:rPr>
        <w:t>Оценка строится на добровольных исследованиях, агрегированных данных, независимых тестах и локальной аналитике. Удобство метрики не оправдывает создание истории политического поведения.</w:t>
      </w:r>
    </w:p>
    <w:p>
      <w:pPr>
        <w:pStyle w:val="Heading2"/>
        <w:keepNext/>
        <w:keepLines/>
        <w:widowControl/>
      </w:pPr>
      <w:r>
        <w:rPr>
          <w:rFonts w:ascii="Carlito" w:hAnsi="Carlito" w:eastAsia="Carlito"/>
        </w:rPr>
        <w:t>21. Связь с другими главами и вывод</w:t>
      </w:r>
    </w:p>
    <w:p>
      <w:pPr>
        <w:widowControl/>
      </w:pPr>
      <w:r>
        <w:rPr>
          <w:rFonts w:ascii="Carlito" w:hAnsi="Carlito" w:eastAsia="Carlito"/>
        </w:rPr>
        <w:t>Глава применяется совместно с главами XX–XXI, правилами общественного обсуждения, конфликтов интересов, дезинформации, кибербезопасности и персональных данных. Она создаёт информационный мост между общественным мандатом и свободным выбором гражданина, не подменяя выбор официальным выводом.</w:t>
      </w:r>
    </w:p>
    <w:p>
      <w:pPr>
        <w:pStyle w:val="DoctrineQuote"/>
        <w:widowControl/>
      </w:pPr>
      <w:r>
        <w:rPr>
          <w:rFonts w:ascii="Carlito" w:hAnsi="Carlito" w:eastAsia="Carlito"/>
          <w:i/>
        </w:rPr>
        <w:t>Сопоставимость усиливает свободу выбора только тогда, когда государство показывает различия, а не превращает их в собственный рейтинг политической правильности.</w:t>
      </w:r>
    </w:p>
    <w:p>
      <w:pPr>
        <w:widowControl/>
      </w:pPr>
      <w:r>
        <w:rPr>
          <w:rFonts w:ascii="Carlito" w:hAnsi="Carlito" w:eastAsia="Carlito"/>
        </w:rPr>
        <w:br w:type="page"/>
      </w:r>
    </w:p>
    <w:p>
      <w:pPr>
        <w:pStyle w:val="Heading1"/>
        <w:keepNext/>
        <w:keepLines/>
        <w:pageBreakBefore/>
        <w:spacing w:before="0" w:after="160"/>
        <w:widowControl/>
        <w:pBdr>
          <w:bottom w:val="single" w:sz="5" w:space="4" w:color="B4C6E7"/>
        </w:pBdr>
      </w:pPr>
      <w:r>
        <w:rPr>
          <w:rFonts w:ascii="Carlito" w:hAnsi="Carlito" w:eastAsia="Carlito"/>
        </w:rPr>
        <w:t>Глава XXIII. Последствия избрания и реестр подотчётной реализации</w:t>
      </w:r>
    </w:p>
    <w:p>
      <w:pPr>
        <w:pStyle w:val="Heading2"/>
        <w:keepNext/>
        <w:keepLines/>
        <w:widowControl/>
      </w:pPr>
      <w:r>
        <w:rPr>
          <w:rFonts w:ascii="Carlito" w:hAnsi="Carlito" w:eastAsia="Carlito"/>
        </w:rPr>
        <w:t>1. Предмет и цель</w:t>
      </w:r>
    </w:p>
    <w:p>
      <w:pPr>
        <w:widowControl/>
      </w:pPr>
      <w:r>
        <w:rPr>
          <w:rFonts w:ascii="Carlito" w:hAnsi="Carlito" w:eastAsia="Carlito"/>
        </w:rPr>
        <w:t>Настоящая глава определяет, какие последствия возникают после избрания кандидата, представившего декларацию по общественному мандату, и как формируется публичный реестр подотчётной реализации, сохраняющий исходные позиции, собственные действия, зависимости, изменения и доказательства.</w:t>
      </w:r>
    </w:p>
    <w:p>
      <w:pPr>
        <w:widowControl/>
      </w:pPr>
      <w:r>
        <w:rPr>
          <w:rFonts w:ascii="Carlito" w:hAnsi="Carlito" w:eastAsia="Carlito"/>
        </w:rPr>
        <w:t>Цель главы — сохранить реальную обязательность публично принятой позиции, не создавая фиктивного источника права, не связывая парламент, суды, регионы и иных самостоятельных субъектов и не приписывая каждому избирателю согласие с каждым пунктом декларации победителя.</w:t>
      </w:r>
    </w:p>
    <w:p>
      <w:pPr>
        <w:pStyle w:val="Heading2"/>
        <w:keepNext/>
        <w:keepLines/>
        <w:widowControl/>
      </w:pPr>
      <w:r>
        <w:rPr>
          <w:rFonts w:ascii="Carlito" w:hAnsi="Carlito" w:eastAsia="Carlito"/>
        </w:rPr>
        <w:t>2. Ключевой тезис</w:t>
      </w:r>
    </w:p>
    <w:p>
      <w:pPr>
        <w:widowControl/>
      </w:pPr>
      <w:r>
        <w:rPr>
          <w:rFonts w:ascii="Carlito" w:hAnsi="Carlito" w:eastAsia="Carlito"/>
        </w:rPr>
        <w:t>Избрание не превращает общественный мандат или всю декларацию кандидата в закон. Оно запускает заранее известный режим персональной политико-процедурной связанности избранного субъекта в пределах его собственных полномочий.</w:t>
      </w:r>
    </w:p>
    <w:p>
      <w:pPr>
        <w:widowControl/>
      </w:pPr>
      <w:r>
        <w:rPr>
          <w:rFonts w:ascii="Carlito" w:hAnsi="Carlito" w:eastAsia="Carlito"/>
        </w:rPr>
        <w:t>Этот режим требует от него:</w:t>
      </w:r>
    </w:p>
    <w:p>
      <w:pPr>
        <w:pStyle w:val="ListBullet"/>
        <w:widowControl/>
      </w:pPr>
      <w:r>
        <w:rPr>
          <w:rFonts w:ascii="Carlito" w:hAnsi="Carlito" w:eastAsia="Carlito"/>
        </w:rPr>
        <w:t>подтвердить действующую версию позиции;</w:t>
      </w:r>
    </w:p>
    <w:p>
      <w:pPr>
        <w:pStyle w:val="ListBullet"/>
        <w:widowControl/>
      </w:pPr>
      <w:r>
        <w:rPr>
          <w:rFonts w:ascii="Carlito" w:hAnsi="Carlito" w:eastAsia="Carlito"/>
        </w:rPr>
        <w:t>раскрыть распределение полномочий и зависимостей;</w:t>
      </w:r>
    </w:p>
    <w:p>
      <w:pPr>
        <w:pStyle w:val="ListBullet"/>
        <w:widowControl/>
      </w:pPr>
      <w:r>
        <w:rPr>
          <w:rFonts w:ascii="Carlito" w:hAnsi="Carlito" w:eastAsia="Carlito"/>
        </w:rPr>
        <w:t>представить план собственных действий;</w:t>
      </w:r>
    </w:p>
    <w:p>
      <w:pPr>
        <w:pStyle w:val="ListBullet"/>
        <w:widowControl/>
      </w:pPr>
      <w:r>
        <w:rPr>
          <w:rFonts w:ascii="Carlito" w:hAnsi="Carlito" w:eastAsia="Carlito"/>
        </w:rPr>
        <w:t>обеспечить данные и отчётность;</w:t>
      </w:r>
    </w:p>
    <w:p>
      <w:pPr>
        <w:pStyle w:val="ListBullet"/>
        <w:widowControl/>
      </w:pPr>
      <w:r>
        <w:rPr>
          <w:rFonts w:ascii="Carlito" w:hAnsi="Carlito" w:eastAsia="Carlito"/>
        </w:rPr>
        <w:t>мотивировать изменение, приостановление, замену или отказ;</w:t>
      </w:r>
    </w:p>
    <w:p>
      <w:pPr>
        <w:pStyle w:val="ListBullet"/>
        <w:widowControl/>
      </w:pPr>
      <w:r>
        <w:rPr>
          <w:rFonts w:ascii="Carlito" w:hAnsi="Carlito" w:eastAsia="Carlito"/>
        </w:rPr>
        <w:t>не искажать исходный текст и историю;</w:t>
      </w:r>
    </w:p>
    <w:p>
      <w:pPr>
        <w:pStyle w:val="ListBullet"/>
        <w:widowControl/>
      </w:pPr>
      <w:r>
        <w:rPr>
          <w:rFonts w:ascii="Carlito" w:hAnsi="Carlito" w:eastAsia="Carlito"/>
        </w:rPr>
        <w:t>не ссылаться на общественный мандат для присвоения чужих полномочий.</w:t>
      </w:r>
    </w:p>
    <w:p>
      <w:pPr>
        <w:widowControl/>
      </w:pPr>
      <w:r>
        <w:rPr>
          <w:rFonts w:ascii="Carlito" w:hAnsi="Carlito" w:eastAsia="Carlito"/>
        </w:rPr>
        <w:t>Он не гарантирует решения парламента, суда, региона, рынка, международного субъекта или наступления сложного социального результата.</w:t>
      </w:r>
    </w:p>
    <w:p>
      <w:pPr>
        <w:pStyle w:val="Heading2"/>
        <w:keepNext/>
        <w:keepLines/>
        <w:widowControl/>
      </w:pPr>
      <w:r>
        <w:rPr>
          <w:rFonts w:ascii="Carlito" w:hAnsi="Carlito" w:eastAsia="Carlito"/>
        </w:rPr>
        <w:t>3. Документальная цепочка</w:t>
      </w:r>
    </w:p>
    <w:p>
      <w:pPr>
        <w:widowControl/>
      </w:pPr>
      <w:r>
        <w:rPr>
          <w:rFonts w:ascii="Carlito" w:hAnsi="Carlito" w:eastAsia="Carlito"/>
        </w:rPr>
        <w:t>После выборов сохраняются различные документы, каждый со своим статусом.</w:t>
      </w:r>
    </w:p>
    <w:tbl>
      <w:tblPr>
        <w:tblStyle w:val="TableGrid"/>
        <w:tblW w:type="auto" w:w="0"/>
        <w:jc w:val="center"/>
        <w:tblLook w:firstColumn="1" w:firstRow="1" w:lastColumn="0" w:lastRow="0" w:noHBand="0" w:noVBand="1" w:val="04A0"/>
      </w:tblPr>
      <w:tblGrid>
        <w:gridCol w:w="2416"/>
        <w:gridCol w:w="2416"/>
        <w:gridCol w:w="2416"/>
        <w:gridCol w:w="2416"/>
      </w:tblGrid>
      <w:tr>
        <w:trPr>
          <w:tblHeader w:val="true"/>
          <w:cantSplit/>
          <w:cantSplit/>
          <w:tblHeader w:val="true"/>
        </w:trPr>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Документ</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Автор или источник</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Статус</w:t>
            </w:r>
          </w:p>
        </w:tc>
        <w:tc>
          <w:tcPr>
            <w:tcW w:type="dxa" w:w="2416"/>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Что он не делает</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Общественный мандат</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Гражданский цикл и финальное решение</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Официальный публичный документ общественных целей</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 заменяет закон и бюджет</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Декларация кандидата</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Кандидат</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Односторонний публичный политико-процедурный акт</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Не является договором со всеми гражданами</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t>Реестр подотчётной реализации</w:t>
            </w:r>
            <w:r>
              <w:rPr>
                <w:rFonts w:ascii="Carlito" w:hAnsi="Carlito" w:eastAsia="Carlito"/>
                <w:color w:val="000000"/>
                <w:sz w:val="14"/>
              </w:rPr>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Автоматически собирается из финальной декларации</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Неизменяемый перечень позиций избранного субъекта</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 создаёт новые полномочия</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План реализации</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Избранный субъект и компетентные органы</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Управленческий документ собственных действий и зависимостей</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Не подменяет парламентские и административные процедуры</w:t>
            </w:r>
          </w:p>
        </w:tc>
      </w:tr>
      <w:tr>
        <w:trPr>
          <w:cantSplit/>
          <w:cantSplit/>
          <w:cantSplit/>
        </w:trPr>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Отчёт об исполнении</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Ответственные органы</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Доказательный документ о действиях, данных и изменениях</w:t>
            </w:r>
          </w:p>
        </w:tc>
        <w:tc>
          <w:tcPr>
            <w:tcW w:type="dxa" w:w="2416"/>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Не является единственной политической оценкой</w:t>
            </w:r>
          </w:p>
        </w:tc>
      </w:tr>
      <w:tr>
        <w:trPr>
          <w:cantSplit/>
          <w:cantSplit/>
          <w:cantSplit/>
        </w:trPr>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Оценка исполнения</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Независимые и публичные субъекты</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Многомерный аналитический вывод</w:t>
            </w:r>
          </w:p>
        </w:tc>
        <w:tc>
          <w:tcPr>
            <w:tcW w:type="dxa" w:w="2416"/>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Не является судебным приговором о политической пригодности</w:t>
            </w:r>
          </w:p>
        </w:tc>
      </w:tr>
    </w:tbl>
    <w:p>
      <w:pPr>
        <w:widowControl/>
      </w:pPr>
    </w:p>
    <w:p>
      <w:pPr>
        <w:widowControl/>
      </w:pPr>
      <w:r>
        <w:rPr>
          <w:rFonts w:ascii="Carlito" w:hAnsi="Carlito" w:eastAsia="Carlito"/>
        </w:rPr>
        <w:t>Смешение этих документов запрещается. Каждый должен иметь отдельный идентификатор, дату, автора, версию и понятное указание юридического эффекта.</w:t>
      </w:r>
    </w:p>
    <w:p>
      <w:pPr>
        <w:pStyle w:val="Heading2"/>
        <w:keepNext/>
        <w:keepLines/>
        <w:widowControl/>
      </w:pPr>
      <w:r>
        <w:rPr>
          <w:rFonts w:ascii="Carlito" w:hAnsi="Carlito" w:eastAsia="Carlito"/>
        </w:rPr>
        <w:t>4. Формирование реестра</w:t>
      </w:r>
    </w:p>
    <w:p>
      <w:pPr>
        <w:widowControl/>
      </w:pPr>
      <w:r>
        <w:rPr>
          <w:rFonts w:ascii="Carlito" w:hAnsi="Carlito" w:eastAsia="Carlito"/>
        </w:rPr>
        <w:t>Реестр подотчётной реализации формируется автоматически после официального установления результатов выборов из окончательной декларации победителя либо из нейтрально зафиксированного статуса отсутствия декларации. Повторное политическое согласие победителя не требуется: исходная предвыборная позиция сохраняется неизменной, а поздний ответ всегда маркируется отдельно.</w:t>
      </w:r>
    </w:p>
    <w:p>
      <w:pPr>
        <w:widowControl/>
      </w:pPr>
      <w:r>
        <w:rPr>
          <w:rFonts w:ascii="Carlito" w:hAnsi="Carlito" w:eastAsia="Carlito"/>
        </w:rPr>
        <w:t>До публикации победителю предоставляется короткий срок только для:</w:t>
      </w:r>
    </w:p>
    <w:p>
      <w:pPr>
        <w:pStyle w:val="ListBullet"/>
        <w:widowControl/>
      </w:pPr>
      <w:r>
        <w:rPr>
          <w:rFonts w:ascii="Carlito" w:hAnsi="Carlito" w:eastAsia="Carlito"/>
        </w:rPr>
        <w:t>проверки технической целостности;</w:t>
      </w:r>
    </w:p>
    <w:p>
      <w:pPr>
        <w:pStyle w:val="ListBullet"/>
        <w:widowControl/>
      </w:pPr>
      <w:r>
        <w:rPr>
          <w:rFonts w:ascii="Carlito" w:hAnsi="Carlito" w:eastAsia="Carlito"/>
        </w:rPr>
        <w:t>указания очевидной ошибки копирования;</w:t>
      </w:r>
    </w:p>
    <w:p>
      <w:pPr>
        <w:pStyle w:val="ListBullet"/>
        <w:widowControl/>
      </w:pPr>
      <w:r>
        <w:rPr>
          <w:rFonts w:ascii="Carlito" w:hAnsi="Carlito" w:eastAsia="Carlito"/>
        </w:rPr>
        <w:t>обозначения изменившегося юридического или фактического обстоятельства;</w:t>
      </w:r>
    </w:p>
    <w:p>
      <w:pPr>
        <w:pStyle w:val="ListBullet"/>
        <w:widowControl/>
      </w:pPr>
      <w:r>
        <w:rPr>
          <w:rFonts w:ascii="Carlito" w:hAnsi="Carlito" w:eastAsia="Carlito"/>
        </w:rPr>
        <w:t>подтверждения актуальных контактных и организационных данных.</w:t>
      </w:r>
    </w:p>
    <w:p>
      <w:pPr>
        <w:widowControl/>
      </w:pPr>
      <w:r>
        <w:rPr>
          <w:rFonts w:ascii="Carlito" w:hAnsi="Carlito" w:eastAsia="Carlito"/>
        </w:rPr>
        <w:t>Победитель не вправе в этот период незаметно ослабить формулировку, изменить категорию, добавить новое условие или удалить прежний отказ. Содержательное изменение возможно только после публикации исходного реестра по процедуре главы XXVII.</w:t>
      </w:r>
    </w:p>
    <w:p>
      <w:pPr>
        <w:pStyle w:val="Heading2"/>
        <w:keepNext/>
        <w:keepLines/>
        <w:widowControl/>
      </w:pPr>
      <w:r>
        <w:rPr>
          <w:rFonts w:ascii="Carlito" w:hAnsi="Carlito" w:eastAsia="Carlito"/>
        </w:rPr>
        <w:t>5. Автоматические последствия избрания</w:t>
      </w:r>
    </w:p>
    <w:p>
      <w:pPr>
        <w:widowControl/>
      </w:pPr>
      <w:r>
        <w:rPr>
          <w:rFonts w:ascii="Carlito" w:hAnsi="Carlito" w:eastAsia="Carlito"/>
        </w:rPr>
        <w:t>Автоматически возникают только последствия, прямо относящиеся к собственным процессным действиям избранного субъекта и установленные до выборов. К ним могут относиться:</w:t>
      </w:r>
    </w:p>
    <w:p>
      <w:pPr>
        <w:pStyle w:val="ListBullet"/>
        <w:widowControl/>
      </w:pPr>
      <w:r>
        <w:rPr>
          <w:rFonts w:ascii="Carlito" w:hAnsi="Carlito" w:eastAsia="Carlito"/>
        </w:rPr>
        <w:t>публикация реестра;</w:t>
      </w:r>
    </w:p>
    <w:p>
      <w:pPr>
        <w:pStyle w:val="ListBullet"/>
        <w:widowControl/>
      </w:pPr>
      <w:r>
        <w:rPr>
          <w:rFonts w:ascii="Carlito" w:hAnsi="Carlito" w:eastAsia="Carlito"/>
        </w:rPr>
        <w:t>представление распределения полномочий;</w:t>
      </w:r>
    </w:p>
    <w:p>
      <w:pPr>
        <w:pStyle w:val="ListBullet"/>
        <w:widowControl/>
      </w:pPr>
      <w:r>
        <w:rPr>
          <w:rFonts w:ascii="Carlito" w:hAnsi="Carlito" w:eastAsia="Carlito"/>
        </w:rPr>
        <w:t>назначение ответственного за подготовку плана;</w:t>
      </w:r>
    </w:p>
    <w:p>
      <w:pPr>
        <w:pStyle w:val="ListBullet"/>
        <w:widowControl/>
      </w:pPr>
      <w:r>
        <w:rPr>
          <w:rFonts w:ascii="Carlito" w:hAnsi="Carlito" w:eastAsia="Carlito"/>
        </w:rPr>
        <w:t>запрос необходимых данных;</w:t>
      </w:r>
    </w:p>
    <w:p>
      <w:pPr>
        <w:pStyle w:val="ListBullet"/>
        <w:widowControl/>
      </w:pPr>
      <w:r>
        <w:rPr>
          <w:rFonts w:ascii="Carlito" w:hAnsi="Carlito" w:eastAsia="Carlito"/>
        </w:rPr>
        <w:t>публикация исходной базы;</w:t>
      </w:r>
    </w:p>
    <w:p>
      <w:pPr>
        <w:pStyle w:val="ListBullet"/>
        <w:widowControl/>
      </w:pPr>
      <w:r>
        <w:rPr>
          <w:rFonts w:ascii="Carlito" w:hAnsi="Carlito" w:eastAsia="Carlito"/>
        </w:rPr>
        <w:t>представление плана и календаря;</w:t>
      </w:r>
    </w:p>
    <w:p>
      <w:pPr>
        <w:pStyle w:val="ListBullet"/>
        <w:widowControl/>
      </w:pPr>
      <w:r>
        <w:rPr>
          <w:rFonts w:ascii="Carlito" w:hAnsi="Carlito" w:eastAsia="Carlito"/>
        </w:rPr>
        <w:t>внесение проекта в пределах права инициативы;</w:t>
      </w:r>
    </w:p>
    <w:p>
      <w:pPr>
        <w:pStyle w:val="ListBullet"/>
        <w:widowControl/>
      </w:pPr>
      <w:r>
        <w:rPr>
          <w:rFonts w:ascii="Carlito" w:hAnsi="Carlito" w:eastAsia="Carlito"/>
        </w:rPr>
        <w:t>проведение консультации;</w:t>
      </w:r>
    </w:p>
    <w:p>
      <w:pPr>
        <w:pStyle w:val="ListBullet"/>
        <w:widowControl/>
      </w:pPr>
      <w:r>
        <w:rPr>
          <w:rFonts w:ascii="Carlito" w:hAnsi="Carlito" w:eastAsia="Carlito"/>
        </w:rPr>
        <w:t>направление официального предложения компетентному органу;</w:t>
      </w:r>
    </w:p>
    <w:p>
      <w:pPr>
        <w:pStyle w:val="ListBullet"/>
        <w:widowControl/>
      </w:pPr>
      <w:r>
        <w:rPr>
          <w:rFonts w:ascii="Carlito" w:hAnsi="Carlito" w:eastAsia="Carlito"/>
        </w:rPr>
        <w:t>регулярная публикация данных;</w:t>
      </w:r>
    </w:p>
    <w:p>
      <w:pPr>
        <w:pStyle w:val="ListBullet"/>
        <w:widowControl/>
      </w:pPr>
      <w:r>
        <w:rPr>
          <w:rFonts w:ascii="Carlito" w:hAnsi="Carlito" w:eastAsia="Carlito"/>
        </w:rPr>
        <w:t>мотивированное объяснение изменений;</w:t>
      </w:r>
    </w:p>
    <w:p>
      <w:pPr>
        <w:pStyle w:val="ListBullet"/>
        <w:widowControl/>
      </w:pPr>
      <w:r>
        <w:rPr>
          <w:rFonts w:ascii="Carlito" w:hAnsi="Carlito" w:eastAsia="Carlito"/>
        </w:rPr>
        <w:t>передача архива и правопреемство.</w:t>
      </w:r>
    </w:p>
    <w:p>
      <w:pPr>
        <w:widowControl/>
      </w:pPr>
      <w:r>
        <w:rPr>
          <w:rFonts w:ascii="Carlito" w:hAnsi="Carlito" w:eastAsia="Carlito"/>
        </w:rPr>
        <w:t>Такие обязанности являются юридически проверяемыми, если национальная адаптация закрепила их законом и они сформулированы достаточно определённо.</w:t>
      </w:r>
    </w:p>
    <w:p>
      <w:pPr>
        <w:pStyle w:val="Heading2"/>
        <w:keepNext/>
        <w:keepLines/>
        <w:widowControl/>
      </w:pPr>
      <w:r>
        <w:rPr>
          <w:rFonts w:ascii="Carlito" w:hAnsi="Carlito" w:eastAsia="Carlito"/>
        </w:rPr>
        <w:t>6. Последствия, которые не возникают автоматически</w:t>
      </w:r>
    </w:p>
    <w:p>
      <w:pPr>
        <w:widowControl/>
      </w:pPr>
      <w:r>
        <w:rPr>
          <w:rFonts w:ascii="Carlito" w:hAnsi="Carlito" w:eastAsia="Carlito"/>
        </w:rPr>
        <w:t>Избрание само по себе не создаёт:</w:t>
      </w:r>
    </w:p>
    <w:p>
      <w:pPr>
        <w:pStyle w:val="ListBullet"/>
        <w:widowControl/>
      </w:pPr>
      <w:r>
        <w:rPr>
          <w:rFonts w:ascii="Carlito" w:hAnsi="Carlito" w:eastAsia="Carlito"/>
        </w:rPr>
        <w:t>обязанности парламента принять закон или проголосовать определённым образом;</w:t>
      </w:r>
    </w:p>
    <w:p>
      <w:pPr>
        <w:pStyle w:val="ListBullet"/>
        <w:widowControl/>
      </w:pPr>
      <w:r>
        <w:rPr>
          <w:rFonts w:ascii="Carlito" w:hAnsi="Carlito" w:eastAsia="Carlito"/>
        </w:rPr>
        <w:t>обязанности суда вынести желаемое решение;</w:t>
      </w:r>
    </w:p>
    <w:p>
      <w:pPr>
        <w:pStyle w:val="ListBullet"/>
        <w:widowControl/>
      </w:pPr>
      <w:r>
        <w:rPr>
          <w:rFonts w:ascii="Carlito" w:hAnsi="Carlito" w:eastAsia="Carlito"/>
        </w:rPr>
        <w:t>обязанности региона или муниципалитета принять расходы без компетенции, согласия и финансирования;</w:t>
      </w:r>
    </w:p>
    <w:p>
      <w:pPr>
        <w:pStyle w:val="ListBullet"/>
        <w:widowControl/>
      </w:pPr>
      <w:r>
        <w:rPr>
          <w:rFonts w:ascii="Carlito" w:hAnsi="Carlito" w:eastAsia="Carlito"/>
        </w:rPr>
        <w:t>полномочия главы исполнительной власти изменить Конституцию;</w:t>
      </w:r>
    </w:p>
    <w:p>
      <w:pPr>
        <w:pStyle w:val="ListBullet"/>
        <w:widowControl/>
      </w:pPr>
      <w:r>
        <w:rPr>
          <w:rFonts w:ascii="Carlito" w:hAnsi="Carlito" w:eastAsia="Carlito"/>
        </w:rPr>
        <w:t>автоматического бюджетного ассигнования;</w:t>
      </w:r>
    </w:p>
    <w:p>
      <w:pPr>
        <w:pStyle w:val="ListBullet"/>
        <w:widowControl/>
      </w:pPr>
      <w:r>
        <w:rPr>
          <w:rFonts w:ascii="Carlito" w:hAnsi="Carlito" w:eastAsia="Carlito"/>
        </w:rPr>
        <w:t>прямого ограничения прав третьих лиц;</w:t>
      </w:r>
    </w:p>
    <w:p>
      <w:pPr>
        <w:pStyle w:val="ListBullet"/>
        <w:widowControl/>
      </w:pPr>
      <w:r>
        <w:rPr>
          <w:rFonts w:ascii="Carlito" w:hAnsi="Carlito" w:eastAsia="Carlito"/>
        </w:rPr>
        <w:t>юридической гарантии макроэкономического, социального или международного результата;</w:t>
      </w:r>
    </w:p>
    <w:p>
      <w:pPr>
        <w:pStyle w:val="ListBullet"/>
        <w:widowControl/>
      </w:pPr>
      <w:r>
        <w:rPr>
          <w:rFonts w:ascii="Carlito" w:hAnsi="Carlito" w:eastAsia="Carlito"/>
        </w:rPr>
        <w:t>права обходить закупочные, экологические, антимонопольные и иные обязательные процедуры;</w:t>
      </w:r>
    </w:p>
    <w:p>
      <w:pPr>
        <w:pStyle w:val="ListBullet"/>
        <w:widowControl/>
      </w:pPr>
      <w:r>
        <w:rPr>
          <w:rFonts w:ascii="Carlito" w:hAnsi="Carlito" w:eastAsia="Carlito"/>
        </w:rPr>
        <w:t>специальной дисквалификации за недостижение результата;</w:t>
      </w:r>
    </w:p>
    <w:p>
      <w:pPr>
        <w:pStyle w:val="ListBullet"/>
        <w:widowControl/>
      </w:pPr>
      <w:r>
        <w:rPr>
          <w:rFonts w:ascii="Carlito" w:hAnsi="Carlito" w:eastAsia="Carlito"/>
        </w:rPr>
        <w:t>презумпции, что все избиратели победителя поддержали каждый пункт.</w:t>
      </w:r>
    </w:p>
    <w:p>
      <w:pPr>
        <w:widowControl/>
      </w:pPr>
      <w:r>
        <w:rPr>
          <w:rFonts w:ascii="Carlito" w:hAnsi="Carlito" w:eastAsia="Carlito"/>
        </w:rPr>
        <w:t>Любой юридический эффект по существу возникает только через обычный закон, бюджет, референдум, административный акт, договор или конституционную процедуру компетентного субъекта.</w:t>
      </w:r>
    </w:p>
    <w:p>
      <w:pPr>
        <w:pStyle w:val="Heading2"/>
        <w:keepNext/>
        <w:keepLines/>
        <w:widowControl/>
      </w:pPr>
      <w:r>
        <w:rPr>
          <w:rFonts w:ascii="Carlito" w:hAnsi="Carlito" w:eastAsia="Carlito"/>
        </w:rPr>
        <w:t>7. Структура записи реестра</w:t>
      </w:r>
    </w:p>
    <w:p>
      <w:pPr>
        <w:widowControl/>
      </w:pPr>
      <w:r>
        <w:rPr>
          <w:rFonts w:ascii="Carlito" w:hAnsi="Carlito" w:eastAsia="Carlito"/>
        </w:rPr>
        <w:t>Для каждого пункта реестр содержит как минимум:</w:t>
      </w:r>
    </w:p>
    <w:tbl>
      <w:tblPr>
        <w:tblStyle w:val="TableGrid"/>
        <w:tblW w:type="auto" w:w="0"/>
        <w:jc w:val="center"/>
        <w:tblLook w:firstColumn="1" w:firstRow="1" w:lastColumn="0" w:lastRow="0" w:noHBand="0" w:noVBand="1" w:val="04A0"/>
      </w:tblPr>
      <w:tblGrid>
        <w:gridCol w:w="4833"/>
        <w:gridCol w:w="4833"/>
      </w:tblGrid>
      <w:tr>
        <w:trPr>
          <w:tblHeader w:val="true"/>
          <w:cantSplit/>
          <w:cantSplit/>
          <w:tblHeader w:val="true"/>
        </w:trPr>
        <w:tc>
          <w:tcPr>
            <w:tcW w:type="dxa" w:w="4833"/>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Поле</w:t>
            </w:r>
          </w:p>
        </w:tc>
        <w:tc>
          <w:tcPr>
            <w:tcW w:type="dxa" w:w="4833"/>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Обязательное содержание</w:t>
            </w:r>
          </w:p>
        </w:tc>
      </w:tr>
      <w:tr>
        <w:trPr>
          <w:cantSplit/>
          <w:cantSplit/>
          <w:cantSplit/>
        </w:trPr>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Идентификатор</w:t>
            </w:r>
          </w:p>
        </w:tc>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Связь с неизменяемым пунктом общественного мандата</w:t>
            </w:r>
          </w:p>
        </w:tc>
      </w:tr>
      <w:tr>
        <w:trPr>
          <w:cantSplit/>
          <w:cantSplit/>
          <w:cantSplit/>
        </w:trPr>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Позиция кандидата</w:t>
            </w:r>
          </w:p>
        </w:tc>
        <w:tc>
          <w:tcPr>
            <w:tcW w:type="dxa" w:w="4833"/>
            <w:tcMar>
              <w:top w:w="65" w:type="dxa"/>
              <w:start w:w="85" w:type="dxa"/>
              <w:bottom w:w="65" w:type="dxa"/>
              <w:end w:w="85" w:type="dxa"/>
            </w:tcMar>
            <w:vAlign w:val="center"/>
            <w:shd w:fill="EDF3F7"/>
          </w:tcPr>
          <w:p>
            <w:r/>
            <w:r>
              <w:t>КП-1, КП-2, КП-3, КП-4, КП-5 либо составная позиция</w:t>
            </w:r>
          </w:p>
        </w:tc>
      </w:tr>
      <w:tr>
        <w:trPr>
          <w:cantSplit/>
          <w:cantSplit/>
          <w:cantSplit/>
        </w:trPr>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Полный текст</w:t>
            </w:r>
          </w:p>
        </w:tc>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Окончательная подписанная версия с приложениями</w:t>
            </w:r>
          </w:p>
        </w:tc>
      </w:tr>
      <w:tr>
        <w:trPr>
          <w:cantSplit/>
          <w:cantSplit/>
          <w:cantSplit/>
        </w:trPr>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Собственная компетенция</w:t>
            </w:r>
          </w:p>
        </w:tc>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Действия, которые избранный субъект вправе совершить самостоятельно</w:t>
            </w:r>
          </w:p>
        </w:tc>
      </w:tr>
      <w:tr>
        <w:trPr>
          <w:cantSplit/>
          <w:cantSplit/>
          <w:cantSplit/>
        </w:trPr>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Совместная компетенция</w:t>
            </w:r>
          </w:p>
        </w:tc>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Органы, чьи решения необходимы, и форма взаимодействия</w:t>
            </w:r>
          </w:p>
        </w:tc>
      </w:tr>
      <w:tr>
        <w:trPr>
          <w:cantSplit/>
          <w:cantSplit/>
          <w:cantSplit/>
        </w:trPr>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Внешние зависимости</w:t>
            </w:r>
          </w:p>
        </w:tc>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События, которые субъект не контролирует</w:t>
            </w:r>
          </w:p>
        </w:tc>
      </w:tr>
      <w:tr>
        <w:trPr>
          <w:cantSplit/>
          <w:cantSplit/>
          <w:cantSplit/>
        </w:trPr>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Первый обязательный шаг</w:t>
            </w:r>
          </w:p>
        </w:tc>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Конкретное действие и срок</w:t>
            </w:r>
          </w:p>
        </w:tc>
      </w:tr>
      <w:tr>
        <w:trPr>
          <w:cantSplit/>
          <w:cantSplit/>
          <w:cantSplit/>
        </w:trPr>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Базовая линия</w:t>
            </w:r>
          </w:p>
        </w:tc>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Исходное состояние и источник данных</w:t>
            </w:r>
          </w:p>
        </w:tc>
      </w:tr>
      <w:tr>
        <w:trPr>
          <w:cantSplit/>
          <w:cantSplit/>
          <w:cantSplit/>
        </w:trPr>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Показатели</w:t>
            </w:r>
          </w:p>
        </w:tc>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Основной результат, защитные и распределительные показатели</w:t>
            </w:r>
          </w:p>
        </w:tc>
      </w:tr>
      <w:tr>
        <w:trPr>
          <w:cantSplit/>
          <w:cantSplit/>
          <w:cantSplit/>
        </w:trPr>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Ресурсный контур</w:t>
            </w:r>
          </w:p>
        </w:tc>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Диапазон затрат и источники, не подменяющие бюджет</w:t>
            </w:r>
          </w:p>
        </w:tc>
      </w:tr>
      <w:tr>
        <w:trPr>
          <w:cantSplit/>
          <w:cantSplit/>
          <w:cantSplit/>
        </w:trPr>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Плановый срок</w:t>
            </w:r>
          </w:p>
        </w:tc>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Дата и условия пересмотра</w:t>
            </w:r>
          </w:p>
        </w:tc>
      </w:tr>
      <w:tr>
        <w:trPr>
          <w:cantSplit/>
          <w:cantSplit/>
          <w:cantSplit/>
        </w:trPr>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Статус данных</w:t>
            </w:r>
          </w:p>
        </w:tc>
        <w:tc>
          <w:tcPr>
            <w:tcW w:type="dxa" w:w="4833"/>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Что опубликовано, что отсутствует, что засекречено и почему</w:t>
            </w:r>
          </w:p>
        </w:tc>
      </w:tr>
      <w:tr>
        <w:trPr>
          <w:cantSplit/>
          <w:cantSplit/>
          <w:cantSplit/>
        </w:trPr>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История</w:t>
            </w:r>
          </w:p>
        </w:tc>
        <w:tc>
          <w:tcPr>
            <w:tcW w:type="dxa" w:w="4833"/>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Все изменения, ответы, жалобы и решения</w:t>
            </w:r>
          </w:p>
        </w:tc>
      </w:tr>
    </w:tbl>
    <w:p>
      <w:pPr>
        <w:widowControl/>
      </w:pPr>
    </w:p>
    <w:p>
      <w:pPr>
        <w:widowControl/>
      </w:pPr>
      <w:r>
        <w:rPr>
          <w:rFonts w:ascii="Carlito" w:hAnsi="Carlito" w:eastAsia="Carlito"/>
        </w:rPr>
        <w:t>Поля, которые не могут быть заполнены сразу, отмечаются как отсутствующие с указанием срока и ответственного за получение данных. Пустое поле не заменяется предположением оператора.</w:t>
      </w:r>
    </w:p>
    <w:p>
      <w:pPr>
        <w:pStyle w:val="Heading2"/>
        <w:keepNext/>
        <w:keepLines/>
        <w:widowControl/>
      </w:pPr>
      <w:r>
        <w:rPr>
          <w:rFonts w:ascii="Carlito" w:hAnsi="Carlito" w:eastAsia="Carlito"/>
        </w:rPr>
        <w:t>8. Различие позиции и состояния исполнения</w:t>
      </w:r>
    </w:p>
    <w:p>
      <w:pPr>
        <w:widowControl/>
      </w:pPr>
      <w:r>
        <w:rPr>
          <w:rFonts w:ascii="Carlito" w:hAnsi="Carlito" w:eastAsia="Carlito"/>
        </w:rPr>
        <w:t>Политическая позиция победителя и состояние исполнения являются разными измерениями. Официальная система не изменяет исходную позицию на «отказ» только потому, что действие не совершено, и не считает пункт «принятым сильнее» из-за высокой активности.</w:t>
      </w:r>
    </w:p>
    <w:p>
      <w:pPr>
        <w:widowControl/>
      </w:pPr>
      <w:r>
        <w:rPr>
          <w:rFonts w:ascii="Carlito" w:hAnsi="Carlito" w:eastAsia="Carlito"/>
        </w:rPr>
        <w:t>Рекомендуемые состояния исполнения:</w:t>
      </w:r>
    </w:p>
    <w:p>
      <w:pPr>
        <w:pStyle w:val="ListBullet"/>
        <w:widowControl/>
      </w:pPr>
      <w:r>
        <w:rPr>
          <w:rFonts w:ascii="Carlito" w:hAnsi="Carlito" w:eastAsia="Carlito"/>
        </w:rPr>
        <w:t>исходная запись опубликована;</w:t>
      </w:r>
    </w:p>
    <w:p>
      <w:pPr>
        <w:pStyle w:val="ListBullet"/>
        <w:widowControl/>
      </w:pPr>
      <w:r>
        <w:rPr>
          <w:rFonts w:ascii="Carlito" w:hAnsi="Carlito" w:eastAsia="Carlito"/>
        </w:rPr>
        <w:t>план подготавливается;</w:t>
      </w:r>
    </w:p>
    <w:p>
      <w:pPr>
        <w:pStyle w:val="ListBullet"/>
        <w:widowControl/>
      </w:pPr>
      <w:r>
        <w:rPr>
          <w:rFonts w:ascii="Carlito" w:hAnsi="Carlito" w:eastAsia="Carlito"/>
        </w:rPr>
        <w:t>план опубликован;</w:t>
      </w:r>
    </w:p>
    <w:p>
      <w:pPr>
        <w:pStyle w:val="ListBullet"/>
        <w:widowControl/>
      </w:pPr>
      <w:r>
        <w:rPr>
          <w:rFonts w:ascii="Carlito" w:hAnsi="Carlito" w:eastAsia="Carlito"/>
        </w:rPr>
        <w:t>действие начато;</w:t>
      </w:r>
    </w:p>
    <w:p>
      <w:pPr>
        <w:pStyle w:val="ListBullet"/>
        <w:widowControl/>
      </w:pPr>
      <w:r>
        <w:rPr>
          <w:rFonts w:ascii="Carlito" w:hAnsi="Carlito" w:eastAsia="Carlito"/>
        </w:rPr>
        <w:t>действие завершено;</w:t>
      </w:r>
    </w:p>
    <w:p>
      <w:pPr>
        <w:pStyle w:val="ListBullet"/>
        <w:widowControl/>
      </w:pPr>
      <w:r>
        <w:rPr>
          <w:rFonts w:ascii="Carlito" w:hAnsi="Carlito" w:eastAsia="Carlito"/>
        </w:rPr>
        <w:t>решение зависит от другого органа;</w:t>
      </w:r>
    </w:p>
    <w:p>
      <w:pPr>
        <w:pStyle w:val="ListBullet"/>
        <w:widowControl/>
      </w:pPr>
      <w:r>
        <w:rPr>
          <w:rFonts w:ascii="Carlito" w:hAnsi="Carlito" w:eastAsia="Carlito"/>
        </w:rPr>
        <w:t>условие не наступило;</w:t>
      </w:r>
    </w:p>
    <w:p>
      <w:pPr>
        <w:pStyle w:val="ListBullet"/>
        <w:widowControl/>
      </w:pPr>
      <w:r>
        <w:rPr>
          <w:rFonts w:ascii="Carlito" w:hAnsi="Carlito" w:eastAsia="Carlito"/>
        </w:rPr>
        <w:t>курс изменён с мотивировкой;</w:t>
      </w:r>
    </w:p>
    <w:p>
      <w:pPr>
        <w:pStyle w:val="ListBullet"/>
        <w:widowControl/>
      </w:pPr>
      <w:r>
        <w:rPr>
          <w:rFonts w:ascii="Carlito" w:hAnsi="Carlito" w:eastAsia="Carlito"/>
        </w:rPr>
        <w:t>пункт приостановлен;</w:t>
      </w:r>
    </w:p>
    <w:p>
      <w:pPr>
        <w:pStyle w:val="ListBullet"/>
        <w:widowControl/>
      </w:pPr>
      <w:r>
        <w:rPr>
          <w:rFonts w:ascii="Carlito" w:hAnsi="Carlito" w:eastAsia="Carlito"/>
        </w:rPr>
        <w:t>пункт прекращён;</w:t>
      </w:r>
    </w:p>
    <w:p>
      <w:pPr>
        <w:pStyle w:val="ListBullet"/>
        <w:widowControl/>
      </w:pPr>
      <w:r>
        <w:rPr>
          <w:rFonts w:ascii="Carlito" w:hAnsi="Carlito" w:eastAsia="Carlito"/>
        </w:rPr>
        <w:t>данные недостаточны;</w:t>
      </w:r>
    </w:p>
    <w:p>
      <w:pPr>
        <w:pStyle w:val="ListBullet"/>
        <w:widowControl/>
      </w:pPr>
      <w:r>
        <w:rPr>
          <w:rFonts w:ascii="Carlito" w:hAnsi="Carlito" w:eastAsia="Carlito"/>
        </w:rPr>
        <w:t>предмет спора;</w:t>
      </w:r>
    </w:p>
    <w:p>
      <w:pPr>
        <w:pStyle w:val="ListBullet"/>
        <w:widowControl/>
      </w:pPr>
      <w:r>
        <w:rPr>
          <w:rFonts w:ascii="Carlito" w:hAnsi="Carlito" w:eastAsia="Carlito"/>
        </w:rPr>
        <w:t>срок нарушен.</w:t>
      </w:r>
    </w:p>
    <w:p>
      <w:pPr>
        <w:widowControl/>
      </w:pPr>
      <w:r>
        <w:rPr>
          <w:rFonts w:ascii="Carlito" w:hAnsi="Carlito" w:eastAsia="Carlito"/>
        </w:rPr>
        <w:t>Состояния не сворачиваются в единый официальный процент и всегда сопровождаются доказательствами и контекстом.</w:t>
      </w:r>
    </w:p>
    <w:p>
      <w:pPr>
        <w:pStyle w:val="Heading2"/>
        <w:keepNext/>
        <w:keepLines/>
        <w:widowControl/>
      </w:pPr>
      <w:r>
        <w:rPr>
          <w:rFonts w:ascii="Carlito" w:hAnsi="Carlito" w:eastAsia="Carlito"/>
        </w:rPr>
        <w:t>9. Последствия различных форм позиции</w:t>
      </w:r>
    </w:p>
    <w:p>
      <w:pPr>
        <w:pStyle w:val="Heading3"/>
        <w:keepNext/>
        <w:keepLines/>
        <w:widowControl/>
      </w:pPr>
      <w:r>
        <w:rPr>
          <w:rFonts w:ascii="Carlito" w:hAnsi="Carlito" w:eastAsia="Carlito"/>
        </w:rPr>
        <w:t>9.1. Полное принятие</w:t>
      </w:r>
    </w:p>
    <w:p>
      <w:pPr>
        <w:widowControl/>
      </w:pPr>
      <w:r>
        <w:rPr>
          <w:rFonts w:ascii="Carlito" w:hAnsi="Carlito" w:eastAsia="Carlito"/>
        </w:rPr>
        <w:t>Победитель обязан включить пункт в план собственных действий, обозначить зависимости, ресурсы, показатели и сроки. Он не гарантирует чужое решение, но не может считать принятие исполненным одной публикацией намерения.</w:t>
      </w:r>
    </w:p>
    <w:p>
      <w:pPr>
        <w:pStyle w:val="Heading3"/>
        <w:keepNext/>
        <w:keepLines/>
        <w:widowControl/>
      </w:pPr>
      <w:r>
        <w:rPr>
          <w:rFonts w:ascii="Carlito" w:hAnsi="Carlito" w:eastAsia="Carlito"/>
        </w:rPr>
        <w:t>9.2. Условное принятие</w:t>
      </w:r>
    </w:p>
    <w:p>
      <w:pPr>
        <w:widowControl/>
      </w:pPr>
      <w:r>
        <w:rPr>
          <w:rFonts w:ascii="Carlito" w:hAnsi="Carlito" w:eastAsia="Carlito"/>
        </w:rPr>
        <w:t>До наступления условия победитель обязан совершать предварительные действия, которые прямо принял и которые находятся в его компетенции. Наступление условия устанавливается по заранее указанному источнику. Самоуправляемое препятствование условию учитывается отдельно.</w:t>
      </w:r>
    </w:p>
    <w:p>
      <w:pPr>
        <w:pStyle w:val="Heading3"/>
        <w:keepNext/>
        <w:keepLines/>
        <w:widowControl/>
      </w:pPr>
      <w:r>
        <w:rPr>
          <w:rFonts w:ascii="Carlito" w:hAnsi="Carlito" w:eastAsia="Carlito"/>
        </w:rPr>
        <w:t>9.3. Альтернатива</w:t>
      </w:r>
    </w:p>
    <w:p>
      <w:pPr>
        <w:widowControl/>
      </w:pPr>
      <w:r>
        <w:rPr>
          <w:rFonts w:ascii="Carlito" w:hAnsi="Carlito" w:eastAsia="Carlito"/>
        </w:rPr>
        <w:t>В реестр включаются исходный общественный пункт и предложенная альтернатива. Они не сливаются. План строится по альтернативе победителя, а мониторинг показывает, решает ли она заявленную проблему, без объявления государственной эквивалентности.</w:t>
      </w:r>
    </w:p>
    <w:p>
      <w:pPr>
        <w:pStyle w:val="Heading3"/>
        <w:keepNext/>
        <w:keepLines/>
        <w:widowControl/>
      </w:pPr>
      <w:r>
        <w:rPr>
          <w:rFonts w:ascii="Carlito" w:hAnsi="Carlito" w:eastAsia="Carlito"/>
        </w:rPr>
        <w:t>9.4. Отказ</w:t>
      </w:r>
    </w:p>
    <w:p>
      <w:pPr>
        <w:widowControl/>
      </w:pPr>
      <w:r>
        <w:rPr>
          <w:rFonts w:ascii="Carlito" w:hAnsi="Carlito" w:eastAsia="Carlito"/>
        </w:rPr>
        <w:t>Отказ остаётся частью реестра и не превращается в обязательство реализовать пункт. Победитель обязан только сохранять исходную позицию и мотивировать её изменение, если позднее решит действовать иначе. Общество вправе оценить отказ политически.</w:t>
      </w:r>
    </w:p>
    <w:p>
      <w:pPr>
        <w:pStyle w:val="Heading3"/>
        <w:keepNext/>
        <w:keepLines/>
        <w:widowControl/>
      </w:pPr>
      <w:r>
        <w:rPr>
          <w:rFonts w:ascii="Carlito" w:hAnsi="Carlito" w:eastAsia="Carlito"/>
        </w:rPr>
        <w:t>9.5. Непредставленная позиция в переходной модели</w:t>
      </w:r>
    </w:p>
    <w:p>
      <w:pPr>
        <w:widowControl/>
      </w:pPr>
      <w:r>
        <w:rPr>
          <w:rFonts w:ascii="Carlito" w:hAnsi="Carlito" w:eastAsia="Carlito"/>
        </w:rPr>
        <w:t>Если национальная адаптация допускает избрание кандидата без декларации, реестр фиксирует отсутствие позиции. Победителю может быть предписано представить послевыборный ответ и план взаимодействия, но этот поздний ответ не объявляется предвыборно принятым обязательством и отдельно маркируется.</w:t>
      </w:r>
    </w:p>
    <w:p>
      <w:pPr>
        <w:pStyle w:val="Heading2"/>
        <w:keepNext/>
        <w:keepLines/>
        <w:widowControl/>
      </w:pPr>
      <w:r>
        <w:rPr>
          <w:rFonts w:ascii="Carlito" w:hAnsi="Carlito" w:eastAsia="Carlito"/>
        </w:rPr>
        <w:t>10. Парламент, партии и коалиции</w:t>
      </w:r>
    </w:p>
    <w:p>
      <w:pPr>
        <w:widowControl/>
      </w:pPr>
      <w:r>
        <w:rPr>
          <w:rFonts w:ascii="Carlito" w:hAnsi="Carlito" w:eastAsia="Carlito"/>
        </w:rPr>
        <w:t>Победа кандидата не создаёт индивидуального долга депутата голосовать согласно его декларации. Для парламента допустимы только заранее установленные процедурные последствия:</w:t>
      </w:r>
    </w:p>
    <w:p>
      <w:pPr>
        <w:pStyle w:val="ListBullet"/>
        <w:widowControl/>
      </w:pPr>
      <w:r>
        <w:rPr>
          <w:rFonts w:ascii="Carlito" w:hAnsi="Carlito" w:eastAsia="Carlito"/>
        </w:rPr>
        <w:t>официальное получение предложения;</w:t>
      </w:r>
    </w:p>
    <w:p>
      <w:pPr>
        <w:pStyle w:val="ListBullet"/>
        <w:widowControl/>
      </w:pPr>
      <w:r>
        <w:rPr>
          <w:rFonts w:ascii="Carlito" w:hAnsi="Carlito" w:eastAsia="Carlito"/>
        </w:rPr>
        <w:t>рассмотрение в установленный срок;</w:t>
      </w:r>
    </w:p>
    <w:p>
      <w:pPr>
        <w:pStyle w:val="ListBullet"/>
        <w:widowControl/>
      </w:pPr>
      <w:r>
        <w:rPr>
          <w:rFonts w:ascii="Carlito" w:hAnsi="Carlito" w:eastAsia="Carlito"/>
        </w:rPr>
        <w:t>проведение слушаний при достижении порога;</w:t>
      </w:r>
    </w:p>
    <w:p>
      <w:pPr>
        <w:pStyle w:val="ListBullet"/>
        <w:widowControl/>
      </w:pPr>
      <w:r>
        <w:rPr>
          <w:rFonts w:ascii="Carlito" w:hAnsi="Carlito" w:eastAsia="Carlito"/>
        </w:rPr>
        <w:t>публикация решения и мотивировки;</w:t>
      </w:r>
    </w:p>
    <w:p>
      <w:pPr>
        <w:pStyle w:val="ListBullet"/>
        <w:widowControl/>
      </w:pPr>
      <w:r>
        <w:rPr>
          <w:rFonts w:ascii="Carlito" w:hAnsi="Carlito" w:eastAsia="Carlito"/>
        </w:rPr>
        <w:t>раскрытие бюджетных и правовых последствий;</w:t>
      </w:r>
    </w:p>
    <w:p>
      <w:pPr>
        <w:pStyle w:val="ListBullet"/>
        <w:widowControl/>
      </w:pPr>
      <w:r>
        <w:rPr>
          <w:rFonts w:ascii="Carlito" w:hAnsi="Carlito" w:eastAsia="Carlito"/>
        </w:rPr>
        <w:t>сохранение свободы голоса каждого депутата.</w:t>
      </w:r>
    </w:p>
    <w:p>
      <w:pPr>
        <w:widowControl/>
      </w:pPr>
      <w:r>
        <w:rPr>
          <w:rFonts w:ascii="Carlito" w:hAnsi="Carlito" w:eastAsia="Carlito"/>
        </w:rPr>
        <w:t>Партия может добровольно принять собственную декларацию, но её внутренние обязательства не заменяют свободный депутатский мандат. Официальный реестр показывает позицию партии, коалиционного соглашения и отдельных органов раздельно.</w:t>
      </w:r>
    </w:p>
    <w:p>
      <w:pPr>
        <w:widowControl/>
      </w:pPr>
      <w:r>
        <w:rPr>
          <w:rFonts w:ascii="Carlito" w:hAnsi="Carlito" w:eastAsia="Carlito"/>
        </w:rPr>
        <w:t>В парламентской системе после формирования коалиции публикуется таблица согласования:</w:t>
      </w:r>
    </w:p>
    <w:p>
      <w:pPr>
        <w:pStyle w:val="ListBullet"/>
        <w:widowControl/>
      </w:pPr>
      <w:r>
        <w:rPr>
          <w:rFonts w:ascii="Carlito" w:hAnsi="Carlito" w:eastAsia="Carlito"/>
        </w:rPr>
        <w:t>какие позиции партий вошли в коалиционную программу;</w:t>
      </w:r>
    </w:p>
    <w:p>
      <w:pPr>
        <w:pStyle w:val="ListBullet"/>
        <w:widowControl/>
      </w:pPr>
      <w:r>
        <w:rPr>
          <w:rFonts w:ascii="Carlito" w:hAnsi="Carlito" w:eastAsia="Carlito"/>
        </w:rPr>
        <w:t>какие отложены;</w:t>
      </w:r>
    </w:p>
    <w:p>
      <w:pPr>
        <w:pStyle w:val="ListBullet"/>
        <w:widowControl/>
      </w:pPr>
      <w:r>
        <w:rPr>
          <w:rFonts w:ascii="Carlito" w:hAnsi="Carlito" w:eastAsia="Carlito"/>
        </w:rPr>
        <w:t>какие несовместимы;</w:t>
      </w:r>
    </w:p>
    <w:p>
      <w:pPr>
        <w:pStyle w:val="ListBullet"/>
        <w:widowControl/>
      </w:pPr>
      <w:r>
        <w:rPr>
          <w:rFonts w:ascii="Carlito" w:hAnsi="Carlito" w:eastAsia="Carlito"/>
        </w:rPr>
        <w:t>какие требуют свободного голосования;</w:t>
      </w:r>
    </w:p>
    <w:p>
      <w:pPr>
        <w:pStyle w:val="ListBullet"/>
        <w:widowControl/>
      </w:pPr>
      <w:r>
        <w:rPr>
          <w:rFonts w:ascii="Carlito" w:hAnsi="Carlito" w:eastAsia="Carlito"/>
        </w:rPr>
        <w:t>какие зависят от партнёров;</w:t>
      </w:r>
    </w:p>
    <w:p>
      <w:pPr>
        <w:pStyle w:val="ListBullet"/>
        <w:widowControl/>
      </w:pPr>
      <w:r>
        <w:rPr>
          <w:rFonts w:ascii="Carlito" w:hAnsi="Carlito" w:eastAsia="Carlito"/>
        </w:rPr>
        <w:t>кто принял решение и на каком основании.</w:t>
      </w:r>
    </w:p>
    <w:p>
      <w:pPr>
        <w:widowControl/>
      </w:pPr>
      <w:r>
        <w:rPr>
          <w:rFonts w:ascii="Carlito" w:hAnsi="Carlito" w:eastAsia="Carlito"/>
        </w:rPr>
        <w:t>Коалиционный компромисс не объявляется правонарушением, но не должен стирать предвыборные позиции.</w:t>
      </w:r>
    </w:p>
    <w:p>
      <w:pPr>
        <w:pStyle w:val="Heading2"/>
        <w:keepNext/>
        <w:keepLines/>
        <w:widowControl/>
      </w:pPr>
      <w:r>
        <w:rPr>
          <w:rFonts w:ascii="Carlito" w:hAnsi="Carlito" w:eastAsia="Carlito"/>
        </w:rPr>
        <w:t>11. Совместная, региональная и муниципальная компетенция</w:t>
      </w:r>
    </w:p>
    <w:p>
      <w:pPr>
        <w:widowControl/>
      </w:pPr>
      <w:r>
        <w:rPr>
          <w:rFonts w:ascii="Carlito" w:hAnsi="Carlito" w:eastAsia="Carlito"/>
        </w:rPr>
        <w:t>Принцип «один пункт — один ведущий компетентный уровень» сохраняется. Если реализация требует нескольких уровней, реестр содержит отдельные линии:</w:t>
      </w:r>
    </w:p>
    <w:p>
      <w:pPr>
        <w:pStyle w:val="ListBullet"/>
        <w:widowControl/>
      </w:pPr>
      <w:r>
        <w:rPr>
          <w:rFonts w:ascii="Carlito" w:hAnsi="Carlito" w:eastAsia="Carlito"/>
        </w:rPr>
        <w:t>собственное действие национального субъекта;</w:t>
      </w:r>
    </w:p>
    <w:p>
      <w:pPr>
        <w:pStyle w:val="ListBullet"/>
        <w:widowControl/>
      </w:pPr>
      <w:r>
        <w:rPr>
          <w:rFonts w:ascii="Carlito" w:hAnsi="Carlito" w:eastAsia="Carlito"/>
        </w:rPr>
        <w:t>запрашиваемое действие региона;</w:t>
      </w:r>
    </w:p>
    <w:p>
      <w:pPr>
        <w:pStyle w:val="ListBullet"/>
        <w:widowControl/>
      </w:pPr>
      <w:r>
        <w:rPr>
          <w:rFonts w:ascii="Carlito" w:hAnsi="Carlito" w:eastAsia="Carlito"/>
        </w:rPr>
        <w:t>запрашиваемое действие муниципалитета;</w:t>
      </w:r>
    </w:p>
    <w:p>
      <w:pPr>
        <w:pStyle w:val="ListBullet"/>
        <w:widowControl/>
      </w:pPr>
      <w:r>
        <w:rPr>
          <w:rFonts w:ascii="Carlito" w:hAnsi="Carlito" w:eastAsia="Carlito"/>
        </w:rPr>
        <w:t>необходимое финансирование;</w:t>
      </w:r>
    </w:p>
    <w:p>
      <w:pPr>
        <w:pStyle w:val="ListBullet"/>
        <w:widowControl/>
      </w:pPr>
      <w:r>
        <w:rPr>
          <w:rFonts w:ascii="Carlito" w:hAnsi="Carlito" w:eastAsia="Carlito"/>
        </w:rPr>
        <w:t>форму согласия;</w:t>
      </w:r>
    </w:p>
    <w:p>
      <w:pPr>
        <w:pStyle w:val="ListBullet"/>
        <w:widowControl/>
      </w:pPr>
      <w:r>
        <w:rPr>
          <w:rFonts w:ascii="Carlito" w:hAnsi="Carlito" w:eastAsia="Carlito"/>
        </w:rPr>
        <w:t>последствия отказа;</w:t>
      </w:r>
    </w:p>
    <w:p>
      <w:pPr>
        <w:pStyle w:val="ListBullet"/>
        <w:widowControl/>
      </w:pPr>
      <w:r>
        <w:rPr>
          <w:rFonts w:ascii="Carlito" w:hAnsi="Carlito" w:eastAsia="Carlito"/>
        </w:rPr>
        <w:t>альтернативный сценарий без передачи нефинансируемой обязанности.</w:t>
      </w:r>
    </w:p>
    <w:p>
      <w:pPr>
        <w:widowControl/>
      </w:pPr>
      <w:r>
        <w:rPr>
          <w:rFonts w:ascii="Carlito" w:hAnsi="Carlito" w:eastAsia="Carlito"/>
        </w:rPr>
        <w:t>Центральная власть не вправе получить политическую выгоду от принятого пункта, передав расход и ответственность нижестоящему уровню без его компетенции и ресурсов.</w:t>
      </w:r>
    </w:p>
    <w:p>
      <w:pPr>
        <w:pStyle w:val="Heading2"/>
        <w:keepNext/>
        <w:keepLines/>
        <w:widowControl/>
      </w:pPr>
      <w:r>
        <w:rPr>
          <w:rFonts w:ascii="Carlito" w:hAnsi="Carlito" w:eastAsia="Carlito"/>
        </w:rPr>
        <w:t>12. Вступительный период и передача дел</w:t>
      </w:r>
    </w:p>
    <w:p>
      <w:pPr>
        <w:widowControl/>
      </w:pPr>
      <w:r>
        <w:rPr>
          <w:rFonts w:ascii="Carlito" w:hAnsi="Carlito" w:eastAsia="Carlito"/>
        </w:rPr>
        <w:t>После установления результатов действует ограниченный вступительный период. В этот период:</w:t>
      </w:r>
    </w:p>
    <w:p>
      <w:pPr>
        <w:pStyle w:val="ListBullet"/>
        <w:widowControl/>
      </w:pPr>
      <w:r>
        <w:rPr>
          <w:rFonts w:ascii="Carlito" w:hAnsi="Carlito" w:eastAsia="Carlito"/>
        </w:rPr>
        <w:t>прежняя власть передаёт данные и незавершённые материалы;</w:t>
      </w:r>
    </w:p>
    <w:p>
      <w:pPr>
        <w:pStyle w:val="ListBullet"/>
        <w:widowControl/>
      </w:pPr>
      <w:r>
        <w:rPr>
          <w:rFonts w:ascii="Carlito" w:hAnsi="Carlito" w:eastAsia="Carlito"/>
        </w:rPr>
        <w:t>независимый аудитор фиксирует состояние ключевых показателей;</w:t>
      </w:r>
    </w:p>
    <w:p>
      <w:pPr>
        <w:pStyle w:val="ListBullet"/>
        <w:widowControl/>
      </w:pPr>
      <w:r>
        <w:rPr>
          <w:rFonts w:ascii="Carlito" w:hAnsi="Carlito" w:eastAsia="Carlito"/>
        </w:rPr>
        <w:t>победитель раскрывает организационную модель подготовки плана;</w:t>
      </w:r>
    </w:p>
    <w:p>
      <w:pPr>
        <w:pStyle w:val="ListBullet"/>
        <w:widowControl/>
      </w:pPr>
      <w:r>
        <w:rPr>
          <w:rFonts w:ascii="Carlito" w:hAnsi="Carlito" w:eastAsia="Carlito"/>
        </w:rPr>
        <w:t>конфликты полномочий обозначаются до утверждения дорожной карты;</w:t>
      </w:r>
    </w:p>
    <w:p>
      <w:pPr>
        <w:pStyle w:val="ListBullet"/>
        <w:widowControl/>
      </w:pPr>
      <w:r>
        <w:rPr>
          <w:rFonts w:ascii="Carlito" w:hAnsi="Carlito" w:eastAsia="Carlito"/>
        </w:rPr>
        <w:t>не допускается удаление или ретроспективное изменение исходных данных;</w:t>
      </w:r>
    </w:p>
    <w:p>
      <w:pPr>
        <w:pStyle w:val="ListBullet"/>
        <w:widowControl/>
      </w:pPr>
      <w:r>
        <w:rPr>
          <w:rFonts w:ascii="Carlito" w:hAnsi="Carlito" w:eastAsia="Carlito"/>
        </w:rPr>
        <w:t>сведения, ограниченные законом, передаются уполномоченному аудитору с публичным резюме.</w:t>
      </w:r>
    </w:p>
    <w:p>
      <w:pPr>
        <w:widowControl/>
      </w:pPr>
      <w:r>
        <w:rPr>
          <w:rFonts w:ascii="Carlito" w:hAnsi="Carlito" w:eastAsia="Carlito"/>
        </w:rPr>
        <w:t>Прежняя власть не отвечает за политический выбор преемника, но несёт обычную ответственность за полноту и достоверность передачи.</w:t>
      </w:r>
    </w:p>
    <w:p>
      <w:pPr>
        <w:pStyle w:val="Heading2"/>
        <w:keepNext/>
        <w:keepLines/>
        <w:widowControl/>
      </w:pPr>
      <w:r>
        <w:rPr>
          <w:rFonts w:ascii="Carlito" w:hAnsi="Carlito" w:eastAsia="Carlito"/>
        </w:rPr>
        <w:t>13. Исходная база и защита от её изменения</w:t>
      </w:r>
    </w:p>
    <w:p>
      <w:pPr>
        <w:widowControl/>
      </w:pPr>
      <w:r>
        <w:rPr>
          <w:rFonts w:ascii="Carlito" w:hAnsi="Carlito" w:eastAsia="Carlito"/>
        </w:rPr>
        <w:t>Для каждого пункта устанавливаются две связанные базы:</w:t>
      </w:r>
    </w:p>
    <w:p>
      <w:pPr>
        <w:pStyle w:val="ListBullet"/>
        <w:widowControl/>
      </w:pPr>
      <w:r>
        <w:rPr>
          <w:rFonts w:ascii="Carlito" w:hAnsi="Carlito" w:eastAsia="Carlito"/>
        </w:rPr>
        <w:t>предвыборная база, использованная при формировании общественного мандата и декларации;</w:t>
      </w:r>
    </w:p>
    <w:p>
      <w:pPr>
        <w:pStyle w:val="ListBullet"/>
        <w:widowControl/>
      </w:pPr>
      <w:r>
        <w:rPr>
          <w:rFonts w:ascii="Carlito" w:hAnsi="Carlito" w:eastAsia="Carlito"/>
        </w:rPr>
        <w:t>вступительная база, проверенная после выборов по заранее установленной методике.</w:t>
      </w:r>
    </w:p>
    <w:p>
      <w:pPr>
        <w:widowControl/>
      </w:pPr>
      <w:r>
        <w:rPr>
          <w:rFonts w:ascii="Carlito" w:hAnsi="Carlito" w:eastAsia="Carlito"/>
        </w:rPr>
        <w:t>Если базы расходятся, обе сохраняются. Победитель не вправе ретроспективно заменить предвыборную базу, чтобы улучшить видимость будущего прогресса. Новая информация может изменить план, но не переписывает историю.</w:t>
      </w:r>
    </w:p>
    <w:p>
      <w:pPr>
        <w:widowControl/>
      </w:pPr>
      <w:r>
        <w:rPr>
          <w:rFonts w:ascii="Carlito" w:hAnsi="Carlito" w:eastAsia="Carlito"/>
        </w:rPr>
        <w:t>Изменение методики показателя сопровождается:</w:t>
      </w:r>
    </w:p>
    <w:p>
      <w:pPr>
        <w:pStyle w:val="ListBullet"/>
        <w:widowControl/>
      </w:pPr>
      <w:r>
        <w:rPr>
          <w:rFonts w:ascii="Carlito" w:hAnsi="Carlito" w:eastAsia="Carlito"/>
        </w:rPr>
        <w:t>старой и новой формулой;</w:t>
      </w:r>
    </w:p>
    <w:p>
      <w:pPr>
        <w:pStyle w:val="ListBullet"/>
        <w:widowControl/>
      </w:pPr>
      <w:r>
        <w:rPr>
          <w:rFonts w:ascii="Carlito" w:hAnsi="Carlito" w:eastAsia="Carlito"/>
        </w:rPr>
        <w:t>причиной;</w:t>
      </w:r>
    </w:p>
    <w:p>
      <w:pPr>
        <w:pStyle w:val="ListBullet"/>
        <w:widowControl/>
      </w:pPr>
      <w:r>
        <w:rPr>
          <w:rFonts w:ascii="Carlito" w:hAnsi="Carlito" w:eastAsia="Carlito"/>
        </w:rPr>
        <w:t>пересчётом исторического ряда по обеим методикам, где возможно;</w:t>
      </w:r>
    </w:p>
    <w:p>
      <w:pPr>
        <w:pStyle w:val="ListBullet"/>
        <w:widowControl/>
      </w:pPr>
      <w:r>
        <w:rPr>
          <w:rFonts w:ascii="Carlito" w:hAnsi="Carlito" w:eastAsia="Carlito"/>
        </w:rPr>
        <w:t>анализом влияния;</w:t>
      </w:r>
    </w:p>
    <w:p>
      <w:pPr>
        <w:pStyle w:val="ListBullet"/>
        <w:widowControl/>
      </w:pPr>
      <w:r>
        <w:rPr>
          <w:rFonts w:ascii="Carlito" w:hAnsi="Carlito" w:eastAsia="Carlito"/>
        </w:rPr>
        <w:t>независимым заключением;</w:t>
      </w:r>
    </w:p>
    <w:p>
      <w:pPr>
        <w:pStyle w:val="ListBullet"/>
        <w:widowControl/>
      </w:pPr>
      <w:r>
        <w:rPr>
          <w:rFonts w:ascii="Carlito" w:hAnsi="Carlito" w:eastAsia="Carlito"/>
        </w:rPr>
        <w:t>правом на возражение.</w:t>
      </w:r>
    </w:p>
    <w:p>
      <w:pPr>
        <w:pStyle w:val="Heading2"/>
        <w:keepNext/>
        <w:keepLines/>
        <w:widowControl/>
      </w:pPr>
      <w:r>
        <w:rPr>
          <w:rFonts w:ascii="Carlito" w:hAnsi="Carlito" w:eastAsia="Carlito"/>
        </w:rPr>
        <w:t>14. Базовые сроки</w:t>
      </w:r>
    </w:p>
    <w:p>
      <w:pPr>
        <w:widowControl/>
      </w:pPr>
      <w:r>
        <w:rPr>
          <w:rFonts w:ascii="Carlito" w:hAnsi="Carlito" w:eastAsia="Carlito"/>
        </w:rPr>
        <w:t>Универсальная Доктрина задаёт последовательность, а точные сроки определяются национальной адаптацией.</w:t>
      </w:r>
    </w:p>
    <w:tbl>
      <w:tblPr>
        <w:tblStyle w:val="TableGrid"/>
        <w:tblW w:type="auto" w:w="0"/>
        <w:jc w:val="center"/>
        <w:tblLook w:firstColumn="1" w:firstRow="1" w:lastColumn="0" w:lastRow="0" w:noHBand="0" w:noVBand="1" w:val="04A0"/>
      </w:tblPr>
      <w:tblGrid>
        <w:gridCol w:w="3222"/>
        <w:gridCol w:w="3222"/>
        <w:gridCol w:w="3222"/>
      </w:tblGrid>
      <w:tr>
        <w:trPr>
          <w:tblHeader w:val="true"/>
          <w:cantSplit/>
          <w:cantSplit/>
          <w:tblHeader w:val="true"/>
        </w:trPr>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Стадия</w:t>
            </w:r>
          </w:p>
        </w:tc>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Содержание</w:t>
            </w:r>
          </w:p>
        </w:tc>
        <w:tc>
          <w:tcPr>
            <w:tcW w:type="dxa" w:w="3222"/>
            <w:shd w:fill="17365D"/>
            <w:tcMar>
              <w:top w:w="65" w:type="dxa"/>
              <w:start w:w="85" w:type="dxa"/>
              <w:bottom w:w="65" w:type="dxa"/>
              <w:end w:w="85" w:type="dxa"/>
            </w:tcMar>
            <w:vAlign w:val="center"/>
          </w:tcPr>
          <w:p>
            <w:pPr>
              <w:spacing w:after="40"/>
              <w:jc w:val="center"/>
            </w:pPr>
            <w:r>
              <w:rPr>
                <w:rFonts w:ascii="Carlito" w:hAnsi="Carlito" w:eastAsia="Carlito"/>
                <w:b/>
                <w:color w:val="FFFFFF"/>
                <w:sz w:val="14"/>
              </w:rPr>
            </w:r>
            <w:r>
              <w:rPr>
                <w:rFonts w:ascii="Carlito" w:hAnsi="Carlito" w:eastAsia="Carlito"/>
                <w:b/>
                <w:color w:val="FFFFFF"/>
                <w:sz w:val="14"/>
              </w:rPr>
              <w:t>Предельный принцип</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Публикация реестра</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Автоматическое создание из финальной декларации</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Без политического пересмотра победителем</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Техническая проверка</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Исправление копирования и идентификаторов</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Короткий срок, журнал обязателен</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Распределение компетенций</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Собственные, совместные и внешние факторы</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До утверждения плана</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Исходная база</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Передача и независимая проверка данных</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До выбора окончательных показателей</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План реализации</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Действия, ресурсы, зависимости и риски</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В разумный фиксированный срок после вступления</w:t>
            </w:r>
          </w:p>
        </w:tc>
      </w:tr>
      <w:tr>
        <w:trPr>
          <w:cantSplit/>
          <w:cantSplit/>
          <w:cantSplit/>
        </w:trPr>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Первый отчёт</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Состояние запуска и выявленные препятствия</w:t>
            </w:r>
          </w:p>
        </w:tc>
        <w:tc>
          <w:tcPr>
            <w:tcW w:type="dxa" w:w="3222"/>
            <w:tcMar>
              <w:top w:w="65" w:type="dxa"/>
              <w:start w:w="85" w:type="dxa"/>
              <w:bottom w:w="65" w:type="dxa"/>
              <w:end w:w="85" w:type="dxa"/>
            </w:tcMar>
            <w:vAlign w:val="center"/>
            <w:shd w:fill="EDF3F7"/>
          </w:tcPr>
          <w:p>
            <w:pPr>
              <w:spacing w:after="40"/>
            </w:pPr>
            <w:r>
              <w:rPr>
                <w:rFonts w:ascii="Carlito" w:hAnsi="Carlito" w:eastAsia="Carlito"/>
                <w:color w:val="000000"/>
                <w:sz w:val="14"/>
              </w:rPr>
            </w:r>
            <w:r>
              <w:rPr>
                <w:rFonts w:ascii="Carlito" w:hAnsi="Carlito" w:eastAsia="Carlito"/>
                <w:color w:val="000000"/>
                <w:sz w:val="14"/>
              </w:rPr>
              <w:t>До истечения первого значимого бюджетного периода</w:t>
            </w:r>
          </w:p>
        </w:tc>
      </w:tr>
      <w:tr>
        <w:trPr>
          <w:cantSplit/>
          <w:cantSplit/>
          <w:cantSplit/>
        </w:trPr>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Регулярные обновления</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Данные, изменения и объяснения</w:t>
            </w:r>
          </w:p>
        </w:tc>
        <w:tc>
          <w:tcPr>
            <w:tcW w:type="dxa" w:w="3222"/>
            <w:tcMar>
              <w:top w:w="65" w:type="dxa"/>
              <w:start w:w="85" w:type="dxa"/>
              <w:bottom w:w="65" w:type="dxa"/>
              <w:end w:w="85" w:type="dxa"/>
            </w:tcMar>
            <w:vAlign w:val="center"/>
          </w:tcPr>
          <w:p>
            <w:pPr>
              <w:spacing w:after="40"/>
            </w:pPr>
            <w:r>
              <w:rPr>
                <w:rFonts w:ascii="Carlito" w:hAnsi="Carlito" w:eastAsia="Carlito"/>
                <w:color w:val="000000"/>
                <w:sz w:val="14"/>
              </w:rPr>
            </w:r>
            <w:r>
              <w:rPr>
                <w:rFonts w:ascii="Carlito" w:hAnsi="Carlito" w:eastAsia="Carlito"/>
                <w:color w:val="000000"/>
                <w:sz w:val="14"/>
              </w:rPr>
              <w:t>По заранее объявленному календарю</w:t>
            </w:r>
          </w:p>
        </w:tc>
      </w:tr>
    </w:tbl>
    <w:p>
      <w:pPr>
        <w:widowControl/>
      </w:pPr>
    </w:p>
    <w:p>
      <w:pPr>
        <w:widowControl/>
      </w:pPr>
      <w:r>
        <w:rPr>
          <w:rFonts w:ascii="Carlito" w:hAnsi="Carlito" w:eastAsia="Carlito"/>
        </w:rPr>
        <w:t>Молчание после истечения срока считается процессным нарушением и подлежит обжалованию. Оно не превращается автоматически в доказательство политического саботажа или недостижения результата.</w:t>
      </w:r>
    </w:p>
    <w:p>
      <w:pPr>
        <w:pStyle w:val="Heading2"/>
        <w:keepNext/>
        <w:keepLines/>
        <w:widowControl/>
      </w:pPr>
      <w:r>
        <w:rPr>
          <w:rFonts w:ascii="Carlito" w:hAnsi="Carlito" w:eastAsia="Carlito"/>
        </w:rPr>
        <w:t>15. План реализации и свобода выбора способов</w:t>
      </w:r>
    </w:p>
    <w:p>
      <w:pPr>
        <w:widowControl/>
      </w:pPr>
      <w:r>
        <w:rPr>
          <w:rFonts w:ascii="Carlito" w:hAnsi="Carlito" w:eastAsia="Carlito"/>
        </w:rPr>
        <w:t>Победитель сохраняет право выбирать способы реализации принятой цели в пределах закона. План должен объяснять:</w:t>
      </w:r>
    </w:p>
    <w:p>
      <w:pPr>
        <w:pStyle w:val="ListBullet"/>
        <w:widowControl/>
      </w:pPr>
      <w:r>
        <w:rPr>
          <w:rFonts w:ascii="Carlito" w:hAnsi="Carlito" w:eastAsia="Carlito"/>
        </w:rPr>
        <w:t>почему выбран данный способ;</w:t>
      </w:r>
    </w:p>
    <w:p>
      <w:pPr>
        <w:pStyle w:val="ListBullet"/>
        <w:widowControl/>
      </w:pPr>
      <w:r>
        <w:rPr>
          <w:rFonts w:ascii="Carlito" w:hAnsi="Carlito" w:eastAsia="Carlito"/>
        </w:rPr>
        <w:t>какие альтернативы рассматривались;</w:t>
      </w:r>
    </w:p>
    <w:p>
      <w:pPr>
        <w:pStyle w:val="ListBullet"/>
        <w:widowControl/>
      </w:pPr>
      <w:r>
        <w:rPr>
          <w:rFonts w:ascii="Carlito" w:hAnsi="Carlito" w:eastAsia="Carlito"/>
        </w:rPr>
        <w:t>какие действия находятся в собственной компетенции;</w:t>
      </w:r>
    </w:p>
    <w:p>
      <w:pPr>
        <w:pStyle w:val="ListBullet"/>
        <w:widowControl/>
      </w:pPr>
      <w:r>
        <w:rPr>
          <w:rFonts w:ascii="Carlito" w:hAnsi="Carlito" w:eastAsia="Carlito"/>
        </w:rPr>
        <w:t>какой закон, бюджет или решение другого органа необходимы;</w:t>
      </w:r>
    </w:p>
    <w:p>
      <w:pPr>
        <w:pStyle w:val="ListBullet"/>
        <w:widowControl/>
      </w:pPr>
      <w:r>
        <w:rPr>
          <w:rFonts w:ascii="Carlito" w:hAnsi="Carlito" w:eastAsia="Carlito"/>
        </w:rPr>
        <w:t>какие риски и распределительные эффекты ожидаются;</w:t>
      </w:r>
    </w:p>
    <w:p>
      <w:pPr>
        <w:pStyle w:val="ListBullet"/>
        <w:widowControl/>
      </w:pPr>
      <w:r>
        <w:rPr>
          <w:rFonts w:ascii="Carlito" w:hAnsi="Carlito" w:eastAsia="Carlito"/>
        </w:rPr>
        <w:t>какие защитные показатели предотвращают вред;</w:t>
      </w:r>
    </w:p>
    <w:p>
      <w:pPr>
        <w:pStyle w:val="ListBullet"/>
        <w:widowControl/>
      </w:pPr>
      <w:r>
        <w:rPr>
          <w:rFonts w:ascii="Carlito" w:hAnsi="Carlito" w:eastAsia="Carlito"/>
        </w:rPr>
        <w:t>как будет изменён курс при новых данных.</w:t>
      </w:r>
    </w:p>
    <w:p>
      <w:pPr>
        <w:widowControl/>
      </w:pPr>
      <w:r>
        <w:rPr>
          <w:rFonts w:ascii="Carlito" w:hAnsi="Carlito" w:eastAsia="Carlito"/>
        </w:rPr>
        <w:t>Оператор и оценочный орган не утверждают политический способ как обязательный. Суд может обязать представить план и раскрыть поля, но не выбрать экономическую или социальную стратегию вместо власти.</w:t>
      </w:r>
    </w:p>
    <w:p>
      <w:pPr>
        <w:pStyle w:val="Heading2"/>
        <w:keepNext/>
        <w:keepLines/>
        <w:widowControl/>
      </w:pPr>
      <w:r>
        <w:rPr>
          <w:rFonts w:ascii="Carlito" w:hAnsi="Carlito" w:eastAsia="Carlito"/>
        </w:rPr>
        <w:t>16. Изменение обстоятельств и чрезвычайные случаи</w:t>
      </w:r>
    </w:p>
    <w:p>
      <w:pPr>
        <w:widowControl/>
      </w:pPr>
      <w:r>
        <w:rPr>
          <w:rFonts w:ascii="Carlito" w:hAnsi="Carlito" w:eastAsia="Carlito"/>
        </w:rPr>
        <w:t>Изменение курса допускается. Оно не требует предварительного разрешения специального органа, но требует своевременной мотивировки, если затрагивает принятую позицию.</w:t>
      </w:r>
    </w:p>
    <w:p>
      <w:pPr>
        <w:widowControl/>
      </w:pPr>
      <w:r>
        <w:rPr>
          <w:rFonts w:ascii="Carlito" w:hAnsi="Carlito" w:eastAsia="Carlito"/>
        </w:rPr>
        <w:t>В чрезвычайной ситуации действие может быть принято немедленно. После стабилизации публикуются:</w:t>
      </w:r>
    </w:p>
    <w:p>
      <w:pPr>
        <w:pStyle w:val="ListBullet"/>
        <w:widowControl/>
      </w:pPr>
      <w:r>
        <w:rPr>
          <w:rFonts w:ascii="Carlito" w:hAnsi="Carlito" w:eastAsia="Carlito"/>
        </w:rPr>
        <w:t>правовое основание;</w:t>
      </w:r>
    </w:p>
    <w:p>
      <w:pPr>
        <w:pStyle w:val="ListBullet"/>
        <w:widowControl/>
      </w:pPr>
      <w:r>
        <w:rPr>
          <w:rFonts w:ascii="Carlito" w:hAnsi="Carlito" w:eastAsia="Carlito"/>
        </w:rPr>
        <w:t>фактические обстоятельства;</w:t>
      </w:r>
    </w:p>
    <w:p>
      <w:pPr>
        <w:pStyle w:val="ListBullet"/>
        <w:widowControl/>
      </w:pPr>
      <w:r>
        <w:rPr>
          <w:rFonts w:ascii="Carlito" w:hAnsi="Carlito" w:eastAsia="Carlito"/>
        </w:rPr>
        <w:t>продолжительность;</w:t>
      </w:r>
    </w:p>
    <w:p>
      <w:pPr>
        <w:pStyle w:val="ListBullet"/>
        <w:widowControl/>
      </w:pPr>
      <w:r>
        <w:rPr>
          <w:rFonts w:ascii="Carlito" w:hAnsi="Carlito" w:eastAsia="Carlito"/>
        </w:rPr>
        <w:t>влияние на каждый пункт;</w:t>
      </w:r>
    </w:p>
    <w:p>
      <w:pPr>
        <w:pStyle w:val="ListBullet"/>
        <w:widowControl/>
      </w:pPr>
      <w:r>
        <w:rPr>
          <w:rFonts w:ascii="Carlito" w:hAnsi="Carlito" w:eastAsia="Carlito"/>
        </w:rPr>
        <w:t>данные, которые не могли быть раскрыты;</w:t>
      </w:r>
    </w:p>
    <w:p>
      <w:pPr>
        <w:pStyle w:val="ListBullet"/>
        <w:widowControl/>
      </w:pPr>
      <w:r>
        <w:rPr>
          <w:rFonts w:ascii="Carlito" w:hAnsi="Carlito" w:eastAsia="Carlito"/>
        </w:rPr>
        <w:t>альтернативы;</w:t>
      </w:r>
    </w:p>
    <w:p>
      <w:pPr>
        <w:pStyle w:val="ListBullet"/>
        <w:widowControl/>
      </w:pPr>
      <w:r>
        <w:rPr>
          <w:rFonts w:ascii="Carlito" w:hAnsi="Carlito" w:eastAsia="Carlito"/>
        </w:rPr>
        <w:t>план возвращения к обычному режиму;</w:t>
      </w:r>
    </w:p>
    <w:p>
      <w:pPr>
        <w:pStyle w:val="ListBullet"/>
        <w:widowControl/>
      </w:pPr>
      <w:r>
        <w:rPr>
          <w:rFonts w:ascii="Carlito" w:hAnsi="Carlito" w:eastAsia="Carlito"/>
        </w:rPr>
        <w:t>парламентский и судебный контроль, где он предусмотрен.</w:t>
      </w:r>
    </w:p>
    <w:p>
      <w:pPr>
        <w:widowControl/>
      </w:pPr>
      <w:r>
        <w:rPr>
          <w:rFonts w:ascii="Carlito" w:hAnsi="Carlito" w:eastAsia="Carlito"/>
        </w:rPr>
        <w:t>Чрезвычайный режим не позволяет навсегда связывать политические данные с личностью, отменять архивную неизменность или постоянно продлевать одно и то же исключение без нового контроля.</w:t>
      </w:r>
    </w:p>
    <w:p>
      <w:pPr>
        <w:pStyle w:val="Heading2"/>
        <w:keepNext/>
        <w:keepLines/>
        <w:widowControl/>
      </w:pPr>
      <w:r>
        <w:rPr>
          <w:rFonts w:ascii="Carlito" w:hAnsi="Carlito" w:eastAsia="Carlito"/>
        </w:rPr>
        <w:t>17. Реорганизация, временное исполнение и досрочное прекращение полномочий</w:t>
      </w:r>
    </w:p>
    <w:p>
      <w:pPr>
        <w:widowControl/>
      </w:pPr>
      <w:r>
        <w:rPr>
          <w:rFonts w:ascii="Carlito" w:hAnsi="Carlito" w:eastAsia="Carlito"/>
        </w:rPr>
        <w:t>Реорганизация органа не прекращает запись реестра. Идентификатор пункта сохраняется, а правопреемник и дата передачи публикуются автоматически.</w:t>
      </w:r>
    </w:p>
    <w:p>
      <w:pPr>
        <w:widowControl/>
      </w:pPr>
      <w:r>
        <w:rPr>
          <w:rFonts w:ascii="Carlito" w:hAnsi="Carlito" w:eastAsia="Carlito"/>
        </w:rPr>
        <w:t>Временно исполняющий обязанности принимает только те процессные действия, которые допускает национальное право. Он не получает новый личный электоральный мандат и не может переписать декларацию избранного лица.</w:t>
      </w:r>
    </w:p>
    <w:p>
      <w:pPr>
        <w:widowControl/>
      </w:pPr>
      <w:r>
        <w:rPr>
          <w:rFonts w:ascii="Carlito" w:hAnsi="Carlito" w:eastAsia="Carlito"/>
        </w:rPr>
        <w:t>При досрочном прекращении полномочий реестр закрывает период конкретного субъекта и передаёт данные новому циклу. Незавершённые пункты не становятся автоматическими обязательствами преемника, кроме действующих законов, договоров и иных обычных юридических актов.</w:t>
      </w:r>
    </w:p>
    <w:p>
      <w:pPr>
        <w:pStyle w:val="Heading2"/>
        <w:keepNext/>
        <w:keepLines/>
        <w:widowControl/>
      </w:pPr>
      <w:r>
        <w:rPr>
          <w:rFonts w:ascii="Carlito" w:hAnsi="Carlito" w:eastAsia="Carlito"/>
        </w:rPr>
        <w:t>18. Мониторинг, жалобы и судебный контроль</w:t>
      </w:r>
    </w:p>
    <w:p>
      <w:pPr>
        <w:widowControl/>
      </w:pPr>
      <w:r>
        <w:rPr>
          <w:rFonts w:ascii="Carlito" w:hAnsi="Carlito" w:eastAsia="Carlito"/>
        </w:rPr>
        <w:t>Мониторинг проверяет доказуемые действия, сроки, данные и изменения. Он не обладает монополией на политическую оценку.</w:t>
      </w:r>
    </w:p>
    <w:p>
      <w:pPr>
        <w:widowControl/>
      </w:pPr>
      <w:r>
        <w:rPr>
          <w:rFonts w:ascii="Carlito" w:hAnsi="Carlito" w:eastAsia="Carlito"/>
        </w:rPr>
        <w:t>Обжалованию подлежат:</w:t>
      </w:r>
    </w:p>
    <w:p>
      <w:pPr>
        <w:pStyle w:val="ListBullet"/>
        <w:widowControl/>
      </w:pPr>
      <w:r>
        <w:rPr>
          <w:rFonts w:ascii="Carlito" w:hAnsi="Carlito" w:eastAsia="Carlito"/>
        </w:rPr>
        <w:t>непубликация реестра;</w:t>
      </w:r>
    </w:p>
    <w:p>
      <w:pPr>
        <w:pStyle w:val="ListBullet"/>
        <w:widowControl/>
      </w:pPr>
      <w:r>
        <w:rPr>
          <w:rFonts w:ascii="Carlito" w:hAnsi="Carlito" w:eastAsia="Carlito"/>
        </w:rPr>
        <w:t>утрата или подмена версии;</w:t>
      </w:r>
    </w:p>
    <w:p>
      <w:pPr>
        <w:pStyle w:val="ListBullet"/>
        <w:widowControl/>
      </w:pPr>
      <w:r>
        <w:rPr>
          <w:rFonts w:ascii="Carlito" w:hAnsi="Carlito" w:eastAsia="Carlito"/>
        </w:rPr>
        <w:t>пропуск процессного срока;</w:t>
      </w:r>
    </w:p>
    <w:p>
      <w:pPr>
        <w:pStyle w:val="ListBullet"/>
        <w:widowControl/>
      </w:pPr>
      <w:r>
        <w:rPr>
          <w:rFonts w:ascii="Carlito" w:hAnsi="Carlito" w:eastAsia="Carlito"/>
        </w:rPr>
        <w:t>непредставление обязательного поля;</w:t>
      </w:r>
    </w:p>
    <w:p>
      <w:pPr>
        <w:pStyle w:val="ListBullet"/>
        <w:widowControl/>
      </w:pPr>
      <w:r>
        <w:rPr>
          <w:rFonts w:ascii="Carlito" w:hAnsi="Carlito" w:eastAsia="Carlito"/>
        </w:rPr>
        <w:t>сокрытие данных без законного основания;</w:t>
      </w:r>
    </w:p>
    <w:p>
      <w:pPr>
        <w:pStyle w:val="ListBullet"/>
        <w:widowControl/>
      </w:pPr>
      <w:r>
        <w:rPr>
          <w:rFonts w:ascii="Carlito" w:hAnsi="Carlito" w:eastAsia="Carlito"/>
        </w:rPr>
        <w:t>ретроспективное изменение базы;</w:t>
      </w:r>
    </w:p>
    <w:p>
      <w:pPr>
        <w:pStyle w:val="ListBullet"/>
        <w:widowControl/>
      </w:pPr>
      <w:r>
        <w:rPr>
          <w:rFonts w:ascii="Carlito" w:hAnsi="Carlito" w:eastAsia="Carlito"/>
        </w:rPr>
        <w:t>неравное применение методики;</w:t>
      </w:r>
    </w:p>
    <w:p>
      <w:pPr>
        <w:pStyle w:val="ListBullet"/>
        <w:widowControl/>
      </w:pPr>
      <w:r>
        <w:rPr>
          <w:rFonts w:ascii="Carlito" w:hAnsi="Carlito" w:eastAsia="Carlito"/>
        </w:rPr>
        <w:t>фиктивное назначение ответственного;</w:t>
      </w:r>
    </w:p>
    <w:p>
      <w:pPr>
        <w:pStyle w:val="ListBullet"/>
        <w:widowControl/>
      </w:pPr>
      <w:r>
        <w:rPr>
          <w:rFonts w:ascii="Carlito" w:hAnsi="Carlito" w:eastAsia="Carlito"/>
        </w:rPr>
        <w:t>незаконная передача данных;</w:t>
      </w:r>
    </w:p>
    <w:p>
      <w:pPr>
        <w:pStyle w:val="ListBullet"/>
        <w:widowControl/>
      </w:pPr>
      <w:r>
        <w:rPr>
          <w:rFonts w:ascii="Carlito" w:hAnsi="Carlito" w:eastAsia="Carlito"/>
        </w:rPr>
        <w:t>невыполнение вступившего в силу судебного предписания.</w:t>
      </w:r>
    </w:p>
    <w:p>
      <w:pPr>
        <w:widowControl/>
      </w:pPr>
      <w:r>
        <w:rPr>
          <w:rFonts w:ascii="Carlito" w:hAnsi="Carlito" w:eastAsia="Carlito"/>
        </w:rPr>
        <w:t>Не подлежат специальному судебному принуждению:</w:t>
      </w:r>
    </w:p>
    <w:p>
      <w:pPr>
        <w:pStyle w:val="ListBullet"/>
        <w:widowControl/>
      </w:pPr>
      <w:r>
        <w:rPr>
          <w:rFonts w:ascii="Carlito" w:hAnsi="Carlito" w:eastAsia="Carlito"/>
        </w:rPr>
        <w:t>достижение сложного общественного результата;</w:t>
      </w:r>
    </w:p>
    <w:p>
      <w:pPr>
        <w:pStyle w:val="ListBullet"/>
        <w:widowControl/>
      </w:pPr>
      <w:r>
        <w:rPr>
          <w:rFonts w:ascii="Carlito" w:hAnsi="Carlito" w:eastAsia="Carlito"/>
        </w:rPr>
        <w:t>принятие закона парламентом;</w:t>
      </w:r>
    </w:p>
    <w:p>
      <w:pPr>
        <w:pStyle w:val="ListBullet"/>
        <w:widowControl/>
      </w:pPr>
      <w:r>
        <w:rPr>
          <w:rFonts w:ascii="Carlito" w:hAnsi="Carlito" w:eastAsia="Carlito"/>
        </w:rPr>
        <w:t>выбор политической альтернативы;</w:t>
      </w:r>
    </w:p>
    <w:p>
      <w:pPr>
        <w:pStyle w:val="ListBullet"/>
        <w:widowControl/>
      </w:pPr>
      <w:r>
        <w:rPr>
          <w:rFonts w:ascii="Carlito" w:hAnsi="Carlito" w:eastAsia="Carlito"/>
        </w:rPr>
        <w:t>оценка популярности решения;</w:t>
      </w:r>
    </w:p>
    <w:p>
      <w:pPr>
        <w:pStyle w:val="ListBullet"/>
        <w:widowControl/>
      </w:pPr>
      <w:r>
        <w:rPr>
          <w:rFonts w:ascii="Carlito" w:hAnsi="Carlito" w:eastAsia="Carlito"/>
        </w:rPr>
        <w:t>квалификация добросовестной смены курса как преступления;</w:t>
      </w:r>
    </w:p>
    <w:p>
      <w:pPr>
        <w:pStyle w:val="ListBullet"/>
        <w:widowControl/>
      </w:pPr>
      <w:r>
        <w:rPr>
          <w:rFonts w:ascii="Carlito" w:hAnsi="Carlito" w:eastAsia="Carlito"/>
        </w:rPr>
        <w:t>переизбрание или политическая пригодность лица.</w:t>
      </w:r>
    </w:p>
    <w:p>
      <w:pPr>
        <w:pStyle w:val="Heading2"/>
        <w:keepNext/>
        <w:keepLines/>
        <w:widowControl/>
      </w:pPr>
      <w:r>
        <w:rPr>
          <w:rFonts w:ascii="Carlito" w:hAnsi="Carlito" w:eastAsia="Carlito"/>
        </w:rPr>
        <w:t>19. Ответственность</w:t>
      </w:r>
    </w:p>
    <w:p>
      <w:pPr>
        <w:widowControl/>
      </w:pPr>
      <w:r>
        <w:rPr>
          <w:rFonts w:ascii="Carlito" w:hAnsi="Carlito" w:eastAsia="Carlito"/>
        </w:rPr>
        <w:t>Специальная ответственность Доктрины возможна только за конкретные процессные нарушения, например:</w:t>
      </w:r>
    </w:p>
    <w:p>
      <w:pPr>
        <w:pStyle w:val="ListBullet"/>
        <w:widowControl/>
      </w:pPr>
      <w:r>
        <w:rPr>
          <w:rFonts w:ascii="Carlito" w:hAnsi="Carlito" w:eastAsia="Carlito"/>
        </w:rPr>
        <w:t>сознательную подделку реестра;</w:t>
      </w:r>
    </w:p>
    <w:p>
      <w:pPr>
        <w:pStyle w:val="ListBullet"/>
        <w:widowControl/>
      </w:pPr>
      <w:r>
        <w:rPr>
          <w:rFonts w:ascii="Carlito" w:hAnsi="Carlito" w:eastAsia="Carlito"/>
        </w:rPr>
        <w:t>уничтожение или скрытие версии;</w:t>
      </w:r>
    </w:p>
    <w:p>
      <w:pPr>
        <w:pStyle w:val="ListBullet"/>
        <w:widowControl/>
      </w:pPr>
      <w:r>
        <w:rPr>
          <w:rFonts w:ascii="Carlito" w:hAnsi="Carlito" w:eastAsia="Carlito"/>
        </w:rPr>
        <w:t>ложные официальные данные;</w:t>
      </w:r>
    </w:p>
    <w:p>
      <w:pPr>
        <w:pStyle w:val="ListBullet"/>
        <w:widowControl/>
      </w:pPr>
      <w:r>
        <w:rPr>
          <w:rFonts w:ascii="Carlito" w:hAnsi="Carlito" w:eastAsia="Carlito"/>
        </w:rPr>
        <w:t>незаконное связывание политической активности с личностью;</w:t>
      </w:r>
    </w:p>
    <w:p>
      <w:pPr>
        <w:pStyle w:val="ListBullet"/>
        <w:widowControl/>
      </w:pPr>
      <w:r>
        <w:rPr>
          <w:rFonts w:ascii="Carlito" w:hAnsi="Carlito" w:eastAsia="Carlito"/>
        </w:rPr>
        <w:t>неисполнение судебного решения;</w:t>
      </w:r>
    </w:p>
    <w:p>
      <w:pPr>
        <w:pStyle w:val="ListBullet"/>
        <w:widowControl/>
      </w:pPr>
      <w:r>
        <w:rPr>
          <w:rFonts w:ascii="Carlito" w:hAnsi="Carlito" w:eastAsia="Carlito"/>
        </w:rPr>
        <w:t>сокрытие конфликта интересов;</w:t>
      </w:r>
    </w:p>
    <w:p>
      <w:pPr>
        <w:pStyle w:val="ListBullet"/>
        <w:widowControl/>
      </w:pPr>
      <w:r>
        <w:rPr>
          <w:rFonts w:ascii="Carlito" w:hAnsi="Carlito" w:eastAsia="Carlito"/>
        </w:rPr>
        <w:t>использование административного ресурса в официальном информационном контуре;</w:t>
      </w:r>
    </w:p>
    <w:p>
      <w:pPr>
        <w:pStyle w:val="ListBullet"/>
        <w:widowControl/>
      </w:pPr>
      <w:r>
        <w:rPr>
          <w:rFonts w:ascii="Carlito" w:hAnsi="Carlito" w:eastAsia="Carlito"/>
        </w:rPr>
        <w:t>умышленную передачу обязанности заведомо некомпетентному субъекту для ухода от отчётности.</w:t>
      </w:r>
    </w:p>
    <w:p>
      <w:pPr>
        <w:widowControl/>
      </w:pPr>
      <w:r>
        <w:rPr>
          <w:rFonts w:ascii="Carlito" w:hAnsi="Carlito" w:eastAsia="Carlito"/>
        </w:rPr>
        <w:t>Политическая неэффективность, добросовестная ошибка прогноза, изменение стратегии и недостижение внешнего результата не образуют специального правонарушения. Их последствия реализуются через публичную оценку, парламентский контроль, свободную дискуссию и следующие выборы.</w:t>
      </w:r>
    </w:p>
    <w:p>
      <w:pPr>
        <w:pStyle w:val="Heading2"/>
        <w:keepNext/>
        <w:keepLines/>
        <w:widowControl/>
      </w:pPr>
      <w:r>
        <w:rPr>
          <w:rFonts w:ascii="Carlito" w:hAnsi="Carlito" w:eastAsia="Carlito"/>
        </w:rPr>
        <w:t>20. Запрет единого официального процента исполнения</w:t>
      </w:r>
    </w:p>
    <w:p>
      <w:pPr>
        <w:widowControl/>
      </w:pPr>
      <w:r>
        <w:rPr>
          <w:rFonts w:ascii="Carlito" w:hAnsi="Carlito" w:eastAsia="Carlito"/>
        </w:rPr>
        <w:t>Официальная система не сворачивает разнотипные пункты в единый процент исполнения победителя. Такой показатель:</w:t>
      </w:r>
    </w:p>
    <w:p>
      <w:pPr>
        <w:pStyle w:val="ListBullet"/>
        <w:widowControl/>
      </w:pPr>
      <w:r>
        <w:rPr>
          <w:rFonts w:ascii="Carlito" w:hAnsi="Carlito" w:eastAsia="Carlito"/>
        </w:rPr>
        <w:t>создаёт ложную точность;</w:t>
      </w:r>
    </w:p>
    <w:p>
      <w:pPr>
        <w:pStyle w:val="ListBullet"/>
        <w:widowControl/>
      </w:pPr>
      <w:r>
        <w:rPr>
          <w:rFonts w:ascii="Carlito" w:hAnsi="Carlito" w:eastAsia="Carlito"/>
        </w:rPr>
        <w:t>позволяет дробить действия на удобные этапы;</w:t>
      </w:r>
    </w:p>
    <w:p>
      <w:pPr>
        <w:pStyle w:val="ListBullet"/>
        <w:widowControl/>
      </w:pPr>
      <w:r>
        <w:rPr>
          <w:rFonts w:ascii="Carlito" w:hAnsi="Carlito" w:eastAsia="Carlito"/>
        </w:rPr>
        <w:t>смешивает процесс и результат;</w:t>
      </w:r>
    </w:p>
    <w:p>
      <w:pPr>
        <w:pStyle w:val="ListBullet"/>
        <w:widowControl/>
      </w:pPr>
      <w:r>
        <w:rPr>
          <w:rFonts w:ascii="Carlito" w:hAnsi="Carlito" w:eastAsia="Carlito"/>
        </w:rPr>
        <w:t>не учитывает внешние факторы;</w:t>
      </w:r>
    </w:p>
    <w:p>
      <w:pPr>
        <w:pStyle w:val="ListBullet"/>
        <w:widowControl/>
      </w:pPr>
      <w:r>
        <w:rPr>
          <w:rFonts w:ascii="Carlito" w:hAnsi="Carlito" w:eastAsia="Carlito"/>
        </w:rPr>
        <w:t>усиливает власть методолога;</w:t>
      </w:r>
    </w:p>
    <w:p>
      <w:pPr>
        <w:pStyle w:val="ListBullet"/>
        <w:widowControl/>
      </w:pPr>
      <w:r>
        <w:rPr>
          <w:rFonts w:ascii="Carlito" w:hAnsi="Carlito" w:eastAsia="Carlito"/>
        </w:rPr>
        <w:t>превращается в неофициальную оценку допуска к следующим выборам.</w:t>
      </w:r>
    </w:p>
    <w:p>
      <w:pPr>
        <w:widowControl/>
      </w:pPr>
      <w:r>
        <w:rPr>
          <w:rFonts w:ascii="Carlito" w:hAnsi="Carlito" w:eastAsia="Carlito"/>
        </w:rPr>
        <w:t>Допускаются отдельные счётчики проверяемых процессных действий, если они не выдаются за итоговую политическую оценку и всегда сопровождаются исходными данными.</w:t>
      </w:r>
    </w:p>
    <w:p>
      <w:pPr>
        <w:pStyle w:val="Heading2"/>
        <w:keepNext/>
        <w:keepLines/>
        <w:widowControl/>
      </w:pPr>
      <w:r>
        <w:rPr>
          <w:rFonts w:ascii="Carlito" w:hAnsi="Carlito" w:eastAsia="Carlito"/>
        </w:rPr>
        <w:t>21. Архив, институциональная память и новый цикл</w:t>
      </w:r>
    </w:p>
    <w:p>
      <w:pPr>
        <w:widowControl/>
      </w:pPr>
      <w:r>
        <w:rPr>
          <w:rFonts w:ascii="Carlito" w:hAnsi="Carlito" w:eastAsia="Carlito"/>
        </w:rPr>
        <w:t>Реестр сохраняется как неизменяемый публичный след конкретного срока полномочий. Он включает:</w:t>
      </w:r>
    </w:p>
    <w:p>
      <w:pPr>
        <w:pStyle w:val="ListBullet"/>
        <w:widowControl/>
      </w:pPr>
      <w:r>
        <w:rPr>
          <w:rFonts w:ascii="Carlito" w:hAnsi="Carlito" w:eastAsia="Carlito"/>
        </w:rPr>
        <w:t>исходные документы;</w:t>
      </w:r>
    </w:p>
    <w:p>
      <w:pPr>
        <w:pStyle w:val="ListBullet"/>
        <w:widowControl/>
      </w:pPr>
      <w:r>
        <w:rPr>
          <w:rFonts w:ascii="Carlito" w:hAnsi="Carlito" w:eastAsia="Carlito"/>
        </w:rPr>
        <w:t>все планы и версии;</w:t>
      </w:r>
    </w:p>
    <w:p>
      <w:pPr>
        <w:pStyle w:val="ListBullet"/>
        <w:widowControl/>
      </w:pPr>
      <w:r>
        <w:rPr>
          <w:rFonts w:ascii="Carlito" w:hAnsi="Carlito" w:eastAsia="Carlito"/>
        </w:rPr>
        <w:t>показатели и методики;</w:t>
      </w:r>
    </w:p>
    <w:p>
      <w:pPr>
        <w:pStyle w:val="ListBullet"/>
        <w:widowControl/>
      </w:pPr>
      <w:r>
        <w:rPr>
          <w:rFonts w:ascii="Carlito" w:hAnsi="Carlito" w:eastAsia="Carlito"/>
        </w:rPr>
        <w:t>данные;</w:t>
      </w:r>
    </w:p>
    <w:p>
      <w:pPr>
        <w:pStyle w:val="ListBullet"/>
        <w:widowControl/>
      </w:pPr>
      <w:r>
        <w:rPr>
          <w:rFonts w:ascii="Carlito" w:hAnsi="Carlito" w:eastAsia="Carlito"/>
        </w:rPr>
        <w:t>жалобы и решения;</w:t>
      </w:r>
    </w:p>
    <w:p>
      <w:pPr>
        <w:pStyle w:val="ListBullet"/>
        <w:widowControl/>
      </w:pPr>
      <w:r>
        <w:rPr>
          <w:rFonts w:ascii="Carlito" w:hAnsi="Carlito" w:eastAsia="Carlito"/>
        </w:rPr>
        <w:t>особые мнения;</w:t>
      </w:r>
    </w:p>
    <w:p>
      <w:pPr>
        <w:pStyle w:val="ListBullet"/>
        <w:widowControl/>
      </w:pPr>
      <w:r>
        <w:rPr>
          <w:rFonts w:ascii="Carlito" w:hAnsi="Carlito" w:eastAsia="Carlito"/>
        </w:rPr>
        <w:t>ответы органов;</w:t>
      </w:r>
    </w:p>
    <w:p>
      <w:pPr>
        <w:pStyle w:val="ListBullet"/>
        <w:widowControl/>
      </w:pPr>
      <w:r>
        <w:rPr>
          <w:rFonts w:ascii="Carlito" w:hAnsi="Carlito" w:eastAsia="Carlito"/>
        </w:rPr>
        <w:t>заключение о передаче;</w:t>
      </w:r>
    </w:p>
    <w:p>
      <w:pPr>
        <w:pStyle w:val="ListBullet"/>
        <w:widowControl/>
      </w:pPr>
      <w:r>
        <w:rPr>
          <w:rFonts w:ascii="Carlito" w:hAnsi="Carlito" w:eastAsia="Carlito"/>
        </w:rPr>
        <w:t>итоговые оценки разных субъектов.</w:t>
      </w:r>
    </w:p>
    <w:p>
      <w:pPr>
        <w:widowControl/>
      </w:pPr>
      <w:r>
        <w:rPr>
          <w:rFonts w:ascii="Carlito" w:hAnsi="Carlito" w:eastAsia="Carlito"/>
        </w:rPr>
        <w:t>Новый цикл вправе сформировать иные приоритеты. Архив не создаёт презумпции продолжения политической позиции и не лишает будущих граждан права изменить курс.</w:t>
      </w:r>
    </w:p>
    <w:p>
      <w:pPr>
        <w:widowControl/>
      </w:pPr>
      <w:r>
        <w:t>Реестр содержит только закрытый каталог собственных процедурных действий. Он не превращает избрание в отдельное одобрение каждого пункта и не связывает парламент, суд, регион или иного самостоятельного субъекта.</w:t>
      </w:r>
    </w:p>
    <w:p>
      <w:pPr>
        <w:widowControl/>
      </w:pPr>
      <w:r>
        <w:t>При коалиционном правительстве публикуется отдельное коалиционное соглашение: какие собственные действия сохраняются, распределяются, изменяются или не принимаются партнёрами. Утрата полномочия прекращает персональную обязанность на будущее, но не удаляет историю и итоговый отчёт.</w:t>
      </w:r>
    </w:p>
    <w:p>
      <w:pPr>
        <w:pStyle w:val="Heading2"/>
        <w:keepNext/>
        <w:keepLines/>
        <w:widowControl/>
      </w:pPr>
      <w:r>
        <w:rPr>
          <w:rFonts w:ascii="Carlito" w:hAnsi="Carlito" w:eastAsia="Carlito"/>
        </w:rPr>
        <w:t>22. Наиболее сильные возражения и встроенные ответы</w:t>
      </w:r>
    </w:p>
    <w:p>
      <w:pPr>
        <w:pStyle w:val="Heading3"/>
        <w:keepNext/>
        <w:keepLines/>
        <w:widowControl/>
      </w:pPr>
      <w:r>
        <w:rPr>
          <w:rFonts w:ascii="Carlito" w:hAnsi="Carlito" w:eastAsia="Carlito"/>
        </w:rPr>
        <w:t>22.1. «Избрание не доказывает согласия с каждым пунктом»</w:t>
      </w:r>
    </w:p>
    <w:p>
      <w:pPr>
        <w:widowControl/>
      </w:pPr>
      <w:r>
        <w:rPr>
          <w:rFonts w:ascii="Carlito" w:hAnsi="Carlito" w:eastAsia="Carlito"/>
        </w:rPr>
        <w:t>Доктрина не приписывает такое согласие избирателю. Реестр фиксирует публичную позицию самого победителя и запускает только заранее известные собственные процессные действия.</w:t>
      </w:r>
    </w:p>
    <w:p>
      <w:pPr>
        <w:pStyle w:val="Heading3"/>
        <w:keepNext/>
        <w:keepLines/>
        <w:widowControl/>
      </w:pPr>
      <w:r>
        <w:rPr>
          <w:rFonts w:ascii="Carlito" w:hAnsi="Carlito" w:eastAsia="Carlito"/>
        </w:rPr>
        <w:t>22.2. «Без обязательства результата поручение станет консультацией»</w:t>
      </w:r>
    </w:p>
    <w:p>
      <w:pPr>
        <w:widowControl/>
      </w:pPr>
      <w:r>
        <w:rPr>
          <w:rFonts w:ascii="Carlito" w:hAnsi="Carlito" w:eastAsia="Carlito"/>
        </w:rPr>
        <w:t>Обязательность выражена в неизменяемой позиции, плане, собственных действиях, данных, сроках, мотивировке и публичной цене изменения. Юридическая гарантия неконтролируемого результата была бы фикцией и ослабляла бы реальную ответственность.</w:t>
      </w:r>
    </w:p>
    <w:p>
      <w:pPr>
        <w:pStyle w:val="Heading3"/>
        <w:keepNext/>
        <w:keepLines/>
        <w:widowControl/>
      </w:pPr>
      <w:r>
        <w:rPr>
          <w:rFonts w:ascii="Carlito" w:hAnsi="Carlito" w:eastAsia="Carlito"/>
        </w:rPr>
        <w:t>22.3. «Победитель сможет всё изменить сразу после выборов»</w:t>
      </w:r>
    </w:p>
    <w:p>
      <w:pPr>
        <w:widowControl/>
      </w:pPr>
      <w:r>
        <w:rPr>
          <w:rFonts w:ascii="Carlito" w:hAnsi="Carlito" w:eastAsia="Carlito"/>
        </w:rPr>
        <w:t>Исходный реестр публикуется автоматически и не переписывается. Изменение курса возможно только как новая публичная версия с основаниями, последствиями и политической ответственностью.</w:t>
      </w:r>
    </w:p>
    <w:p>
      <w:pPr>
        <w:pStyle w:val="Heading3"/>
        <w:keepNext/>
        <w:keepLines/>
        <w:widowControl/>
      </w:pPr>
      <w:r>
        <w:rPr>
          <w:rFonts w:ascii="Carlito" w:hAnsi="Carlito" w:eastAsia="Carlito"/>
        </w:rPr>
        <w:t>22.4. «Парламент сможет безнаказанно проигнорировать пункт»</w:t>
      </w:r>
    </w:p>
    <w:p>
      <w:pPr>
        <w:widowControl/>
      </w:pPr>
      <w:r>
        <w:rPr>
          <w:rFonts w:ascii="Carlito" w:hAnsi="Carlito" w:eastAsia="Carlito"/>
        </w:rPr>
        <w:t>Парламент сохраняет свободу решения, но национальная адаптация может установить обязанность рассмотреть, провести слушание и мотивировать решение. Принуждение к определённому голосу нарушило бы свободный мандат.</w:t>
      </w:r>
    </w:p>
    <w:p>
      <w:pPr>
        <w:pStyle w:val="Heading3"/>
        <w:keepNext/>
        <w:keepLines/>
        <w:widowControl/>
      </w:pPr>
      <w:r>
        <w:rPr>
          <w:rFonts w:ascii="Carlito" w:hAnsi="Carlito" w:eastAsia="Carlito"/>
        </w:rPr>
        <w:t>22.5. «Процессные обязанности породят формальную отчётность»</w:t>
      </w:r>
    </w:p>
    <w:p>
      <w:pPr>
        <w:widowControl/>
      </w:pPr>
      <w:r>
        <w:rPr>
          <w:rFonts w:ascii="Carlito" w:hAnsi="Carlito" w:eastAsia="Carlito"/>
        </w:rPr>
        <w:t>Главы XXIV–XXVIII разделяют действия, промежуточные результаты и общественный эффект; требуют исходные данные, защитные показатели и независимые оценки; запрещают выдавать число мероприятий за достижение цели.</w:t>
      </w:r>
    </w:p>
    <w:p>
      <w:pPr>
        <w:pStyle w:val="Heading3"/>
        <w:keepNext/>
        <w:keepLines/>
        <w:widowControl/>
      </w:pPr>
      <w:r>
        <w:rPr>
          <w:rFonts w:ascii="Carlito" w:hAnsi="Carlito" w:eastAsia="Carlito"/>
        </w:rPr>
        <w:t>22.6. «Реестр станет оружием против оппозиционного победителя»</w:t>
      </w:r>
    </w:p>
    <w:p>
      <w:pPr>
        <w:widowControl/>
      </w:pPr>
      <w:r>
        <w:rPr>
          <w:rFonts w:ascii="Carlito" w:hAnsi="Carlito" w:eastAsia="Carlito"/>
        </w:rPr>
        <w:t>Методика устанавливается до выборов, не содержит единого рейтинга, применяется ко всем, допускает особые мнения и судебный контроль только фактов процедуры. Политические выводы остаются множественными.</w:t>
      </w:r>
    </w:p>
    <w:p>
      <w:pPr>
        <w:pStyle w:val="Heading2"/>
        <w:keepNext/>
        <w:keepLines/>
        <w:widowControl/>
      </w:pPr>
      <w:r>
        <w:rPr>
          <w:rFonts w:ascii="Carlito" w:hAnsi="Carlito" w:eastAsia="Carlito"/>
        </w:rPr>
        <w:t>23. Связь с другими главами и вывод</w:t>
      </w:r>
    </w:p>
    <w:p>
      <w:pPr>
        <w:widowControl/>
      </w:pPr>
      <w:r>
        <w:rPr>
          <w:rFonts w:ascii="Carlito" w:hAnsi="Carlito" w:eastAsia="Carlito"/>
        </w:rPr>
        <w:t>Настоящая глава завершает предвыборный цикл и открывает цикл реализации. Она применяется вместе с главами V, VI, XX–XXII и XXIV–XXX, а также с правилами пилотирования, данных, кибербезопасности и чрезвычайных режимов.</w:t>
      </w:r>
    </w:p>
    <w:p>
      <w:pPr>
        <w:pStyle w:val="DoctrineQuote"/>
        <w:widowControl/>
      </w:pPr>
      <w:r>
        <w:rPr>
          <w:rFonts w:ascii="Carlito" w:hAnsi="Carlito" w:eastAsia="Carlito"/>
          <w:i/>
        </w:rPr>
        <w:t>Избрание не превращает общественную цель в магическую гарантию результата. Оно превращает публично принятую позицию победителя в неизменяемую, планируемую, наблюдаемую и объяснимую линию политической ответственности в пределах его полномочий.</w:t>
      </w:r>
    </w:p>
    <w:p>
      <w:pPr>
        <w:widowControl/>
      </w:pPr>
      <w:r>
        <w:rPr>
          <w:rFonts w:ascii="Carlito" w:hAnsi="Carlito" w:eastAsia="Carlito"/>
        </w:rPr>
        <w:br w:type="page"/>
      </w:r>
    </w:p>
    <w:p>
      <w:pPr>
        <w:pStyle w:val="Heading1"/>
        <w:keepNext/>
        <w:pageBreakBefore/>
        <w:spacing w:before="0" w:after="160"/>
        <w:widowControl/>
        <w:pBdr>
          <w:bottom w:val="single" w:sz="5" w:space="4" w:color="B4C6E7"/>
        </w:pBdr>
      </w:pPr>
      <w:r>
        <w:rPr>
          <w:rFonts w:ascii="Carlito" w:hAnsi="Carlito"/>
        </w:rPr>
        <w:t>Глава XXIV. План реализации принятых положений</w:t>
      </w:r>
    </w:p>
    <w:p>
      <w:pPr>
        <w:pStyle w:val="Heading2"/>
        <w:keepNext/>
        <w:widowControl/>
      </w:pPr>
      <w:r>
        <w:rPr>
          <w:rFonts w:ascii="Carlito" w:hAnsi="Carlito"/>
        </w:rPr>
        <w:t>1. Предмет и цель главы</w:t>
      </w:r>
    </w:p>
    <w:p>
      <w:pPr>
        <w:widowControl/>
      </w:pPr>
      <w:r>
        <w:rPr>
          <w:rFonts w:ascii="Carlito" w:hAnsi="Carlito"/>
          <w:i w:val="0"/>
        </w:rPr>
        <w:t>Настоящая глава устанавливает порядок преобразования принятых избранным лицом, партией либо формирующим правительство субъектом положений общественного мандата в публичный план действий. План служит мостом между политической позицией и обычными конституционными, законодательными, бюджетными и административными процедурами.</w:t>
      </w:r>
    </w:p>
    <w:p>
      <w:pPr>
        <w:widowControl/>
      </w:pPr>
      <w:r>
        <w:rPr>
          <w:rFonts w:ascii="Carlito" w:hAnsi="Carlito"/>
          <w:i w:val="0"/>
        </w:rPr>
        <w:t>Цель главы — сделать последующие действия наблюдаемыми, не подменяя полномочия парламента, суда, регионов, муниципалитетов и профессиональных органов управления.</w:t>
      </w:r>
    </w:p>
    <w:p>
      <w:pPr>
        <w:pStyle w:val="DoctrineQuote"/>
        <w:widowControl/>
      </w:pPr>
      <w:r>
        <w:rPr>
          <w:rFonts w:ascii="Carlito" w:hAnsi="Carlito"/>
          <w:i w:val="0"/>
        </w:rPr>
        <w:t>План реализации связывает принятую политическую позицию с проверяемыми действиями в собственной компетенции, но не превращает желаемый общественный результат в юридическую гарантию обстоятельств, которыми адресат не управляет.</w:t>
      </w:r>
    </w:p>
    <w:p>
      <w:pPr>
        <w:pStyle w:val="Heading2"/>
        <w:keepNext/>
        <w:widowControl/>
      </w:pPr>
      <w:r>
        <w:rPr>
          <w:rFonts w:ascii="Carlito" w:hAnsi="Carlito"/>
        </w:rPr>
        <w:t>2. Основные определения</w:t>
      </w:r>
    </w:p>
    <w:p>
      <w:pPr>
        <w:widowControl/>
      </w:pPr>
      <w:r>
        <w:rPr>
          <w:rFonts w:ascii="Carlito" w:hAnsi="Carlito"/>
          <w:i w:val="0"/>
        </w:rPr>
        <w:t>План реализации — опубликованный документ, содержащий для каждого принятого положения перечень собственных действий, компетентных субъектов, зависимостей, ресурсов, сроков, показателей, рисков, данных и оснований возможной корректировки.</w:t>
      </w:r>
    </w:p>
    <w:p>
      <w:pPr>
        <w:widowControl/>
      </w:pPr>
      <w:r>
        <w:rPr>
          <w:rFonts w:ascii="Carlito" w:hAnsi="Carlito"/>
          <w:i w:val="0"/>
        </w:rPr>
        <w:t>Консолидированная программа реализации — совокупность планов по всем принятым положениям, проверенная на взаимные зависимости, административную мощность и бюджетную совместимость.</w:t>
      </w:r>
    </w:p>
    <w:p>
      <w:pPr>
        <w:widowControl/>
      </w:pPr>
      <w:r>
        <w:rPr>
          <w:rFonts w:ascii="Carlito" w:hAnsi="Carlito"/>
          <w:i w:val="0"/>
        </w:rPr>
        <w:t>Критический путь — последовательность действий, без завершения которых достижение заявленного промежуточного или конечного результата существенно невозможно.</w:t>
      </w:r>
    </w:p>
    <w:p>
      <w:pPr>
        <w:widowControl/>
      </w:pPr>
      <w:r>
        <w:rPr>
          <w:rFonts w:ascii="Carlito" w:hAnsi="Carlito"/>
          <w:i w:val="0"/>
        </w:rPr>
        <w:t>Ведущий субъект — орган или должностное лицо, обладающее достаточной собственной компетенцией для координации плана. Статус ведущего субъекта не делает его ответственным за решения независимых органов.</w:t>
      </w:r>
    </w:p>
    <w:p>
      <w:pPr>
        <w:widowControl/>
      </w:pPr>
      <w:r>
        <w:rPr>
          <w:rFonts w:ascii="Carlito" w:hAnsi="Carlito"/>
          <w:i w:val="0"/>
        </w:rPr>
        <w:t>Внешняя зависимость — решение, ресурс или событие, находящееся вне одностороннего контроля ведущего субъекта: закон парламента, решение суда, согласие региона, рыночное изменение, международное действие либо форс-мажор.</w:t>
      </w:r>
    </w:p>
    <w:p>
      <w:pPr>
        <w:pStyle w:val="Heading2"/>
        <w:keepNext/>
        <w:widowControl/>
      </w:pPr>
      <w:r>
        <w:rPr>
          <w:rFonts w:ascii="Carlito" w:hAnsi="Carlito"/>
        </w:rPr>
        <w:t>3. Возникновение обязанности подготовить план</w:t>
      </w:r>
    </w:p>
    <w:p>
      <w:pPr>
        <w:widowControl/>
      </w:pPr>
      <w:r>
        <w:rPr>
          <w:rFonts w:ascii="Carlito" w:hAnsi="Carlito"/>
          <w:i w:val="0"/>
        </w:rPr>
        <w:t>Обязанность подготовить план возникает после официального формирования реестра подотчётной реализации в соответствии с главой XXIII. Она является процедурной обязанностью и не зависит от того, относится ли принятое положение к цели, законодательному предложению, административной реформе либо совместной компетенции.</w:t>
      </w:r>
    </w:p>
    <w:p>
      <w:pPr>
        <w:widowControl/>
      </w:pPr>
      <w:r>
        <w:rPr>
          <w:rFonts w:ascii="Carlito" w:hAnsi="Carlito"/>
          <w:i w:val="0"/>
        </w:rPr>
        <w:t>Национальная адаптация устанавливает разумный срок первичной публикации. Срок должен позволять провести вступительную диагностику, но не может использоваться для отсрочки публичного отношения к принятой позиции. До утверждения полного плана публикуется краткий переходный план с первыми действиями, ответственными субъектами и календарём подготовки.</w:t>
      </w:r>
    </w:p>
    <w:p>
      <w:pPr>
        <w:pStyle w:val="Heading2"/>
        <w:keepNext/>
        <w:widowControl/>
      </w:pPr>
      <w:r>
        <w:rPr>
          <w:rFonts w:ascii="Carlito" w:hAnsi="Carlito"/>
        </w:rPr>
        <w:t>4. Место плана в системе публичных документов</w:t>
      </w:r>
    </w:p>
    <w:p>
      <w:pPr>
        <w:widowControl/>
      </w:pPr>
      <w:r>
        <w:rPr>
          <w:rFonts w:ascii="Carlito" w:hAnsi="Carlito"/>
          <w:i w:val="0"/>
        </w:rPr>
        <w:t>План не является законом, бюджетом, судебным актом, государственным контрактом или разрешением расходовать средства. Он не изменяет компетенции и не создаёт полномочий, отсутствующих в конституционном порядке.</w:t>
      </w:r>
    </w:p>
    <w:p>
      <w:pPr>
        <w:widowControl/>
      </w:pPr>
      <w:r>
        <w:rPr>
          <w:rFonts w:ascii="Carlito" w:hAnsi="Carlito"/>
          <w:i w:val="0"/>
        </w:rPr>
        <w:t>Если реализация требует закона, бюджетного ассигнования, регионального решения, закупки или оценки воздействия, план обязан прямо указать такую зависимость. Исполнитель не вправе представлять зависимое действие как уже принятое решение другого института.</w:t>
      </w:r>
    </w:p>
    <w:p>
      <w:pPr>
        <w:pStyle w:val="Heading2"/>
        <w:keepNext/>
        <w:widowControl/>
      </w:pPr>
      <w:r>
        <w:rPr>
          <w:rFonts w:ascii="Carlito" w:hAnsi="Carlito"/>
        </w:rPr>
        <w:t>5. Две исходные базы</w:t>
      </w:r>
    </w:p>
    <w:p>
      <w:pPr>
        <w:widowControl/>
      </w:pPr>
      <w:r>
        <w:rPr>
          <w:rFonts w:ascii="Carlito" w:hAnsi="Carlito"/>
          <w:i w:val="0"/>
        </w:rPr>
        <w:t>Для каждого положения сохраняются две исходные базы. Предвыборная база включает данные, на которых граждане и кандидаты основывали позиции до выборов. Вступительная база формируется после передачи полномочий на основании проверяемой инвентаризации состояния дел.</w:t>
      </w:r>
    </w:p>
    <w:p>
      <w:pPr>
        <w:widowControl/>
      </w:pPr>
      <w:r>
        <w:rPr>
          <w:rFonts w:ascii="Carlito" w:hAnsi="Carlito"/>
          <w:i w:val="0"/>
        </w:rPr>
        <w:t>Если базы различаются, обе остаются в реестре. Публикуются причины расхождения, источники, методика, диапазон неопределённости и влияние на план. Запрещается ретроспективно заменять предвыборную базу вступительной либо объявлять первоначальные данные недействительными без сохранения их исторического статуса.</w:t>
      </w:r>
    </w:p>
    <w:p>
      <w:pPr>
        <w:pStyle w:val="Heading2"/>
        <w:keepNext/>
        <w:widowControl/>
      </w:pPr>
      <w:r>
        <w:rPr>
          <w:rFonts w:ascii="Carlito" w:hAnsi="Carlito"/>
        </w:rPr>
        <w:t>6. Структура результата</w:t>
      </w:r>
    </w:p>
    <w:p>
      <w:pPr>
        <w:widowControl/>
      </w:pPr>
      <w:r>
        <w:rPr>
          <w:rFonts w:ascii="Carlito" w:hAnsi="Carlito"/>
          <w:i w:val="0"/>
        </w:rPr>
        <w:t>По каждому положению план раздельно устанавливает:</w:t>
      </w:r>
    </w:p>
    <w:p>
      <w:pPr>
        <w:widowControl/>
        <w:ind w:left="369" w:hanging="369"/>
      </w:pPr>
      <w:r>
        <w:rPr>
          <w:rFonts w:ascii="Carlito" w:hAnsi="Carlito"/>
          <w:b/>
        </w:rPr>
        <w:t xml:space="preserve">1. </w:t>
      </w:r>
      <w:r>
        <w:rPr>
          <w:rFonts w:ascii="Carlito" w:hAnsi="Carlito"/>
        </w:rPr>
        <w:t>общественную цель и защищаемый смысл принятой позиции;</w:t>
      </w:r>
    </w:p>
    <w:p>
      <w:pPr>
        <w:widowControl/>
        <w:ind w:left="369" w:hanging="369"/>
      </w:pPr>
      <w:r>
        <w:rPr>
          <w:rFonts w:ascii="Carlito" w:hAnsi="Carlito"/>
          <w:b/>
        </w:rPr>
        <w:t xml:space="preserve">2. </w:t>
      </w:r>
      <w:r>
        <w:rPr>
          <w:rFonts w:ascii="Carlito" w:hAnsi="Carlito"/>
        </w:rPr>
        <w:t>действия, полностью находящиеся в собственной компетенции адресата;</w:t>
      </w:r>
    </w:p>
    <w:p>
      <w:pPr>
        <w:widowControl/>
        <w:ind w:left="369" w:hanging="369"/>
      </w:pPr>
      <w:r>
        <w:rPr>
          <w:rFonts w:ascii="Carlito" w:hAnsi="Carlito"/>
          <w:b/>
        </w:rPr>
        <w:t xml:space="preserve">3. </w:t>
      </w:r>
      <w:r>
        <w:rPr>
          <w:rFonts w:ascii="Carlito" w:hAnsi="Carlito"/>
        </w:rPr>
        <w:t>действия, требующие совместного решения или участия независимых институтов;</w:t>
      </w:r>
    </w:p>
    <w:p>
      <w:pPr>
        <w:widowControl/>
        <w:ind w:left="369" w:hanging="369"/>
      </w:pPr>
      <w:r>
        <w:rPr>
          <w:rFonts w:ascii="Carlito" w:hAnsi="Carlito"/>
          <w:b/>
        </w:rPr>
        <w:t xml:space="preserve">4. </w:t>
      </w:r>
      <w:r>
        <w:rPr>
          <w:rFonts w:ascii="Carlito" w:hAnsi="Carlito"/>
        </w:rPr>
        <w:t>промежуточные продукты, которые должны быть созданы или изменены;</w:t>
      </w:r>
    </w:p>
    <w:p>
      <w:pPr>
        <w:widowControl/>
        <w:ind w:left="369" w:hanging="369"/>
      </w:pPr>
      <w:r>
        <w:rPr>
          <w:rFonts w:ascii="Carlito" w:hAnsi="Carlito"/>
          <w:b/>
        </w:rPr>
        <w:t xml:space="preserve">5. </w:t>
      </w:r>
      <w:r>
        <w:rPr>
          <w:rFonts w:ascii="Carlito" w:hAnsi="Carlito"/>
        </w:rPr>
        <w:t>ожидаемый общественный результат и временной горизонт его проявления;</w:t>
      </w:r>
    </w:p>
    <w:p>
      <w:pPr>
        <w:widowControl/>
        <w:ind w:left="369" w:hanging="369"/>
      </w:pPr>
      <w:r>
        <w:rPr>
          <w:rFonts w:ascii="Carlito" w:hAnsi="Carlito"/>
          <w:b/>
        </w:rPr>
        <w:t xml:space="preserve">6. </w:t>
      </w:r>
      <w:r>
        <w:rPr>
          <w:rFonts w:ascii="Carlito" w:hAnsi="Carlito"/>
        </w:rPr>
        <w:t>основные, защитные и распределительные показатели;</w:t>
      </w:r>
    </w:p>
    <w:p>
      <w:pPr>
        <w:widowControl/>
        <w:ind w:left="369" w:hanging="369"/>
      </w:pPr>
      <w:r>
        <w:rPr>
          <w:rFonts w:ascii="Carlito" w:hAnsi="Carlito"/>
          <w:b/>
        </w:rPr>
        <w:t xml:space="preserve">7. </w:t>
      </w:r>
      <w:r>
        <w:rPr>
          <w:rFonts w:ascii="Carlito" w:hAnsi="Carlito"/>
        </w:rPr>
        <w:t>внешние факторы, способные повлиять на результат;</w:t>
      </w:r>
    </w:p>
    <w:p>
      <w:pPr>
        <w:widowControl/>
        <w:ind w:left="369" w:hanging="369"/>
      </w:pPr>
      <w:r>
        <w:rPr>
          <w:rFonts w:ascii="Carlito" w:hAnsi="Carlito"/>
          <w:b/>
        </w:rPr>
        <w:t xml:space="preserve">8. </w:t>
      </w:r>
      <w:r>
        <w:rPr>
          <w:rFonts w:ascii="Carlito" w:hAnsi="Carlito"/>
        </w:rPr>
        <w:t>непреднамеренные последствия и условия остановки.</w:t>
      </w:r>
    </w:p>
    <w:p>
      <w:pPr>
        <w:pStyle w:val="Heading2"/>
        <w:keepNext/>
        <w:widowControl/>
      </w:pPr>
      <w:r>
        <w:rPr>
          <w:rFonts w:ascii="Carlito" w:hAnsi="Carlito"/>
        </w:rPr>
        <w:t>7. Обязательные поля плана</w:t>
      </w:r>
    </w:p>
    <w:p>
      <w:pPr>
        <w:pStyle w:val="ListBullet"/>
        <w:widowControl/>
      </w:pPr>
      <w:r>
        <w:rPr>
          <w:rFonts w:ascii="Carlito" w:hAnsi="Carlito"/>
        </w:rPr>
        <w:t>стабильный идентификатор положения и ссылка на исходный общественный мандат;</w:t>
      </w:r>
    </w:p>
    <w:p>
      <w:pPr>
        <w:pStyle w:val="ListBullet"/>
        <w:widowControl/>
      </w:pPr>
      <w:r>
        <w:rPr>
          <w:rFonts w:ascii="Carlito" w:hAnsi="Carlito"/>
        </w:rPr>
        <w:t>точная форма позиции победителя и история её изменений;</w:t>
      </w:r>
    </w:p>
    <w:p>
      <w:pPr>
        <w:pStyle w:val="ListBullet"/>
        <w:widowControl/>
      </w:pPr>
      <w:r>
        <w:rPr>
          <w:rFonts w:ascii="Carlito" w:hAnsi="Carlito"/>
        </w:rPr>
        <w:t>паспорт компетенции и карта зависимостей;</w:t>
      </w:r>
    </w:p>
    <w:p>
      <w:pPr>
        <w:pStyle w:val="ListBullet"/>
        <w:widowControl/>
      </w:pPr>
      <w:r>
        <w:rPr>
          <w:rFonts w:ascii="Carlito" w:hAnsi="Carlito"/>
        </w:rPr>
        <w:t>ведущий субъект, соисполнители и независимые участники;</w:t>
      </w:r>
    </w:p>
    <w:p>
      <w:pPr>
        <w:pStyle w:val="ListBullet"/>
        <w:widowControl/>
      </w:pPr>
      <w:r>
        <w:rPr>
          <w:rFonts w:ascii="Carlito" w:hAnsi="Carlito"/>
        </w:rPr>
        <w:t>первые действия, этапы, критический путь и контрольные даты;</w:t>
      </w:r>
    </w:p>
    <w:p>
      <w:pPr>
        <w:pStyle w:val="ListBullet"/>
        <w:widowControl/>
      </w:pPr>
      <w:r>
        <w:rPr>
          <w:rFonts w:ascii="Carlito" w:hAnsi="Carlito"/>
        </w:rPr>
        <w:t>правовые основания и необходимые нормативные решения;</w:t>
      </w:r>
    </w:p>
    <w:p>
      <w:pPr>
        <w:pStyle w:val="ListBullet"/>
        <w:widowControl/>
      </w:pPr>
      <w:r>
        <w:rPr>
          <w:rFonts w:ascii="Carlito" w:hAnsi="Carlito"/>
        </w:rPr>
        <w:t>ресурсная модель, диапазоны стоимости и альтернативная стоимость;</w:t>
      </w:r>
    </w:p>
    <w:p>
      <w:pPr>
        <w:pStyle w:val="ListBullet"/>
        <w:widowControl/>
      </w:pPr>
      <w:r>
        <w:rPr>
          <w:rFonts w:ascii="Carlito" w:hAnsi="Carlito"/>
        </w:rPr>
        <w:t>базовые значения, источники и методики показателей;</w:t>
      </w:r>
    </w:p>
    <w:p>
      <w:pPr>
        <w:pStyle w:val="ListBullet"/>
        <w:widowControl/>
      </w:pPr>
      <w:r>
        <w:rPr>
          <w:rFonts w:ascii="Carlito" w:hAnsi="Carlito"/>
        </w:rPr>
        <w:t>план открытых данных и ограничения доступа;</w:t>
      </w:r>
    </w:p>
    <w:p>
      <w:pPr>
        <w:pStyle w:val="ListBullet"/>
        <w:widowControl/>
      </w:pPr>
      <w:r>
        <w:rPr>
          <w:rFonts w:ascii="Carlito" w:hAnsi="Carlito"/>
        </w:rPr>
        <w:t>реестр существенных рисков и сценарии реагирования;</w:t>
      </w:r>
    </w:p>
    <w:p>
      <w:pPr>
        <w:pStyle w:val="ListBullet"/>
        <w:widowControl/>
      </w:pPr>
      <w:r>
        <w:rPr>
          <w:rFonts w:ascii="Carlito" w:hAnsi="Carlito"/>
        </w:rPr>
        <w:t>условия пересмотра, временного приостановления и прекращения;</w:t>
      </w:r>
    </w:p>
    <w:p>
      <w:pPr>
        <w:pStyle w:val="ListBullet"/>
        <w:widowControl/>
      </w:pPr>
      <w:r>
        <w:rPr>
          <w:rFonts w:ascii="Carlito" w:hAnsi="Carlito"/>
        </w:rPr>
        <w:t>порядок общественного контроля, ответа и обжалования фактических ошибок.</w:t>
      </w:r>
    </w:p>
    <w:p>
      <w:pPr>
        <w:pStyle w:val="Heading2"/>
        <w:keepNext/>
        <w:widowControl/>
      </w:pPr>
      <w:r>
        <w:rPr>
          <w:rFonts w:ascii="Carlito" w:hAnsi="Carlito"/>
        </w:rPr>
        <w:t>8. Компетенции и ответственность</w:t>
      </w:r>
    </w:p>
    <w:p>
      <w:pPr>
        <w:widowControl/>
      </w:pPr>
      <w:r>
        <w:rPr>
          <w:rFonts w:ascii="Carlito" w:hAnsi="Carlito"/>
          <w:i w:val="0"/>
        </w:rPr>
        <w:t>Нельзя назначать владельцем общественного результата субъект, не имеющий полномочий и ресурсов. Если результат зависит от нескольких институтов, план использует карту распределённой ответственности: каждый субъект отвечает за собственное решение, данные, сроки и объяснение, а не за волю другого субъекта.</w:t>
      </w:r>
    </w:p>
    <w:p>
      <w:pPr>
        <w:widowControl/>
      </w:pPr>
      <w:r>
        <w:rPr>
          <w:rFonts w:ascii="Carlito" w:hAnsi="Carlito"/>
          <w:i w:val="0"/>
        </w:rPr>
        <w:t>Ведущий субъект обязан координировать информацию, предупреждать о зависимостях и публиковать консолидированное состояние. Он не вправе присваивать решения парламента, суда, регионов или независимого регулятора и не отвечает за их содержательный выбор.</w:t>
      </w:r>
    </w:p>
    <w:p>
      <w:pPr>
        <w:pStyle w:val="Heading2"/>
        <w:keepNext/>
        <w:widowControl/>
      </w:pPr>
      <w:r>
        <w:rPr>
          <w:rFonts w:ascii="Carlito" w:hAnsi="Carlito"/>
        </w:rPr>
        <w:t>9. Бюджетная и ресурсная модель</w:t>
      </w:r>
    </w:p>
    <w:p>
      <w:pPr>
        <w:widowControl/>
      </w:pPr>
      <w:r>
        <w:rPr>
          <w:rFonts w:ascii="Carlito" w:hAnsi="Carlito"/>
          <w:i w:val="0"/>
        </w:rPr>
        <w:t>План раскрывает стоимость диапазоном, сценарии финансирования, постоянные расходы, капитальные затраты и альтернативную стоимость. Он не обязан заранее выбирать один источник, если решение относится к будущей бюджетной процедуре, но обязан показать реалистичные варианты и последствия каждого из них.</w:t>
      </w:r>
    </w:p>
    <w:p>
      <w:pPr>
        <w:widowControl/>
      </w:pPr>
      <w:r>
        <w:rPr>
          <w:rFonts w:ascii="Carlito" w:hAnsi="Carlito"/>
          <w:i w:val="0"/>
        </w:rPr>
        <w:t>Отсутствие утверждённого финансирования маркируется как зависимость, а не как основание скрыть положение. Запрещается искусственно сужать ресурсный контур только для объявления принятой позиции невозможной. Одновременно план не может создавать нефинансируемое обязательство для региона, муниципалитета или независимого учреждения.</w:t>
      </w:r>
    </w:p>
    <w:p>
      <w:pPr>
        <w:pStyle w:val="Heading2"/>
        <w:keepNext/>
        <w:widowControl/>
      </w:pPr>
      <w:r>
        <w:rPr>
          <w:rFonts w:ascii="Carlito" w:hAnsi="Carlito"/>
        </w:rPr>
        <w:t>10. Свобода способов и пределы усмотрения</w:t>
      </w:r>
    </w:p>
    <w:p>
      <w:pPr>
        <w:widowControl/>
      </w:pPr>
      <w:r>
        <w:rPr>
          <w:rFonts w:ascii="Carlito" w:hAnsi="Carlito"/>
          <w:i w:val="0"/>
        </w:rPr>
        <w:t>Государство сохраняет свободу выбора законных способов достижения цели. Отклонение от первоначально названного средства само по себе не считается неисполнением, если сохраняется смысл позиции, раскрыты последствия, соблюдены права и публично объяснено изменение.</w:t>
      </w:r>
    </w:p>
    <w:p>
      <w:pPr>
        <w:widowControl/>
      </w:pPr>
      <w:r>
        <w:rPr>
          <w:rFonts w:ascii="Carlito" w:hAnsi="Carlito"/>
          <w:i w:val="0"/>
        </w:rPr>
        <w:t>Свобода способов не допускает: изменения цели без признания пересмотра позиции; выбора заведомо нерелевантного показателя; подмены результата исследованием при наличии возможности действовать; сокрытия распределительных потерь; переноса расходов на не согласившийся уровень власти.</w:t>
      </w:r>
    </w:p>
    <w:p>
      <w:pPr>
        <w:pStyle w:val="Heading2"/>
        <w:keepNext/>
        <w:widowControl/>
      </w:pPr>
      <w:r>
        <w:rPr>
          <w:rFonts w:ascii="Carlito" w:hAnsi="Carlito"/>
        </w:rPr>
        <w:t>11. Показатели и защита от управления по метрике</w:t>
      </w:r>
    </w:p>
    <w:p>
      <w:pPr>
        <w:widowControl/>
      </w:pPr>
      <w:r>
        <w:rPr>
          <w:rFonts w:ascii="Carlito" w:hAnsi="Carlito"/>
          <w:i w:val="0"/>
        </w:rPr>
        <w:t>Основной показатель отражает общественный результат либо наиболее близкий проверяемый эффект. Защитные показатели выявляют ухудшение прав, качества, безопасности или доступности. Распределительные показатели показывают, кто получил выгоды и понёс издержки.</w:t>
      </w:r>
    </w:p>
    <w:p>
      <w:pPr>
        <w:widowControl/>
      </w:pPr>
      <w:r>
        <w:rPr>
          <w:rFonts w:ascii="Carlito" w:hAnsi="Carlito"/>
          <w:i w:val="0"/>
        </w:rPr>
        <w:t>Процессные показатели используются для контроля действий, но не суммируются с общественным результатом в единый процент. Количество заседаний, документов, объектов и освоенных средств не может автоматически компенсировать отсутствие эффекта.</w:t>
      </w:r>
    </w:p>
    <w:p>
      <w:pPr>
        <w:pStyle w:val="Heading2"/>
        <w:keepNext/>
        <w:widowControl/>
      </w:pPr>
      <w:r>
        <w:rPr>
          <w:rFonts w:ascii="Carlito" w:hAnsi="Carlito"/>
        </w:rPr>
        <w:t>12. Этапы и критический путь</w:t>
      </w:r>
    </w:p>
    <w:p>
      <w:pPr>
        <w:widowControl/>
      </w:pPr>
      <w:r>
        <w:rPr>
          <w:rFonts w:ascii="Carlito" w:hAnsi="Carlito"/>
          <w:i w:val="0"/>
        </w:rPr>
        <w:t>План отделяет обязательные ключевые этапы от вспомогательных действий. Вес этапов определяется до начала исполнения. Множество мелких мероприятий не может создавать видимость высокой степени исполнения при провале критического пути.</w:t>
      </w:r>
    </w:p>
    <w:p>
      <w:pPr>
        <w:widowControl/>
      </w:pPr>
      <w:r>
        <w:rPr>
          <w:rFonts w:ascii="Carlito" w:hAnsi="Carlito"/>
          <w:i w:val="0"/>
        </w:rPr>
        <w:t>Каждая задержка сопровождается указанием причины, влияния на последующие этапы, принятых мер и новой даты. Молчание после истечения срока является самостоятельным процедурным нарушением.</w:t>
      </w:r>
    </w:p>
    <w:p>
      <w:pPr>
        <w:pStyle w:val="Heading2"/>
        <w:keepNext/>
        <w:widowControl/>
      </w:pPr>
      <w:r>
        <w:rPr>
          <w:rFonts w:ascii="Carlito" w:hAnsi="Carlito"/>
        </w:rPr>
        <w:t>13. Риски, альтернативы и условия остановки</w:t>
      </w:r>
    </w:p>
    <w:p>
      <w:pPr>
        <w:widowControl/>
      </w:pPr>
      <w:r>
        <w:rPr>
          <w:rFonts w:ascii="Carlito" w:hAnsi="Carlito"/>
          <w:i w:val="0"/>
        </w:rPr>
        <w:t>Реестр рисков охватывает правовые, бюджетные, административные, технологические, социальные, правозащитные и внешнеполитические факторы. Для высоких рисков публикуются альтернативные способы, пороги неприемлемого ущерба и условия безопасного отказа.</w:t>
      </w:r>
    </w:p>
    <w:p>
      <w:pPr>
        <w:widowControl/>
      </w:pPr>
      <w:r>
        <w:rPr>
          <w:rFonts w:ascii="Carlito" w:hAnsi="Carlito"/>
          <w:i w:val="0"/>
        </w:rPr>
        <w:t>План не должен поощрять продолжение заведомо вредной политики ради формальной верности обещанию. При достижении заранее установленного порога ущерба субъект обязан инициировать процедуру главы XXVII.</w:t>
      </w:r>
    </w:p>
    <w:p>
      <w:pPr>
        <w:pStyle w:val="Heading2"/>
        <w:keepNext/>
        <w:widowControl/>
      </w:pPr>
      <w:r>
        <w:rPr>
          <w:rFonts w:ascii="Carlito" w:hAnsi="Carlito"/>
        </w:rPr>
        <w:t>14. Общественное рассмотрение плана</w:t>
      </w:r>
    </w:p>
    <w:p>
      <w:pPr>
        <w:widowControl/>
      </w:pPr>
      <w:r>
        <w:rPr>
          <w:rFonts w:ascii="Carlito" w:hAnsi="Carlito"/>
          <w:i w:val="0"/>
        </w:rPr>
        <w:t>Проект плана публикуется для комментариев. Обсуждение не является повторным голосованием по самому общественному мандату и не даёт организованной группе право переписать позицию победителя. Его функция — выявить фактические ошибки, скрытые зависимости, барьеры доступности и непреднамеренные последствия.</w:t>
      </w:r>
    </w:p>
    <w:p>
      <w:pPr>
        <w:pStyle w:val="Heading2"/>
        <w:keepNext/>
        <w:widowControl/>
      </w:pPr>
      <w:r>
        <w:rPr>
          <w:rFonts w:ascii="Carlito" w:hAnsi="Carlito"/>
        </w:rPr>
        <w:t>15. Утверждение, публикация и версионирование</w:t>
      </w:r>
    </w:p>
    <w:p>
      <w:pPr>
        <w:widowControl/>
      </w:pPr>
      <w:r>
        <w:rPr>
          <w:rFonts w:ascii="Carlito" w:hAnsi="Carlito"/>
          <w:i w:val="0"/>
        </w:rPr>
        <w:t>План утверждается компетентным субъектом в пределах его полномочий. Каждый вариант имеет дату, номер, автора изменения и машиночитаемую карту различий. Первоначальная версия не удаляется.</w:t>
      </w:r>
    </w:p>
    <w:p>
      <w:pPr>
        <w:widowControl/>
      </w:pPr>
      <w:r>
        <w:rPr>
          <w:rFonts w:ascii="Carlito" w:hAnsi="Carlito"/>
          <w:i w:val="0"/>
        </w:rPr>
        <w:t>Существенное изменение цели, охвата, срока, правового эффекта или распределения издержек оформляется как пересмотр позиции по главе XXVII, а не как техническое обновление.</w:t>
      </w:r>
    </w:p>
    <w:p>
      <w:pPr>
        <w:pStyle w:val="Heading2"/>
        <w:keepNext/>
        <w:widowControl/>
      </w:pPr>
      <w:r>
        <w:rPr>
          <w:rFonts w:ascii="Carlito" w:hAnsi="Carlito"/>
        </w:rPr>
        <w:t>16. Контроль, обжалование и ответственность</w:t>
      </w:r>
    </w:p>
    <w:p>
      <w:pPr>
        <w:widowControl/>
      </w:pPr>
      <w:r>
        <w:rPr>
          <w:rFonts w:ascii="Carlito" w:hAnsi="Carlito"/>
          <w:i w:val="0"/>
        </w:rPr>
        <w:t>Обжалованию подлежат непубликация, отсутствие обязательных полей, фактическая ошибка, нарушение компетенции, сокрытие зависимости, незаконная обработка данных и нарушение права на участие. Политический выбор законного способа не отменяется только потому, что иной способ представляется предпочтительнее.</w:t>
      </w:r>
    </w:p>
    <w:p>
      <w:pPr>
        <w:widowControl/>
      </w:pPr>
      <w:r>
        <w:rPr>
          <w:rFonts w:ascii="Carlito" w:hAnsi="Carlito"/>
          <w:i w:val="0"/>
        </w:rPr>
        <w:t>Ответственность за план несут лица, утвердившие заведомо ложные сведения, скрывшие конфликт интересов, не опубликовавшие обязательную информацию или присвоившие полномочия другого института. Добросовестный прогноз, не подтвердившийся из-за неопределённости, сам по себе не образует нарушение.</w:t>
      </w:r>
    </w:p>
    <w:p>
      <w:pPr>
        <w:pStyle w:val="Heading2"/>
        <w:keepNext/>
        <w:widowControl/>
      </w:pPr>
      <w:r>
        <w:rPr>
          <w:rFonts w:ascii="Carlito" w:hAnsi="Carlito"/>
        </w:rPr>
        <w:t>17. Специальные и чрезвычайные случаи</w:t>
      </w:r>
    </w:p>
    <w:p>
      <w:pPr>
        <w:widowControl/>
      </w:pPr>
      <w:r>
        <w:rPr>
          <w:rFonts w:ascii="Carlito" w:hAnsi="Carlito"/>
          <w:i w:val="0"/>
        </w:rPr>
        <w:t>В кризисе допускается немедленное изменение последовательности действий. В краткий срок публикуются основания, временные меры, затронутые права, данные, срок действия и порядок последующего контроля. Чрезвычайность не отменяет ведение версий и не позволяет бессрочно скрывать решение.</w:t>
      </w:r>
    </w:p>
    <w:p>
      <w:pPr>
        <w:widowControl/>
      </w:pPr>
      <w:r>
        <w:t>План обязан заранее определить минимальный набор данных и ответственного за его сбор. Исполнитель не получает выгоду из собственного бездействия: отсутствие данных фиксируется как самостоятельный факт исполнения, используются допустимые независимые источники, а методика не изменяется ретроспективно без сохранения обеих версий.</w:t>
      </w:r>
    </w:p>
    <w:p>
      <w:pPr>
        <w:pStyle w:val="Heading2"/>
        <w:keepNext/>
        <w:widowControl/>
      </w:pPr>
      <w:r>
        <w:rPr>
          <w:rFonts w:ascii="Carlito" w:hAnsi="Carlito"/>
        </w:rPr>
        <w:t>18. Сильнейшие возражения и встроенные ответы</w:t>
      </w:r>
    </w:p>
    <w:p>
      <w:pPr>
        <w:widowControl/>
      </w:pPr>
      <w:r>
        <w:rPr>
          <w:rFonts w:ascii="Carlito" w:hAnsi="Carlito"/>
          <w:i w:val="0"/>
        </w:rPr>
        <w:t>Возражение о том, что план станет вторым бюджетом, снимается прямым запретом создавать расходы и полномочия вне обычной процедуры. Возражение о формальном исполнении снимается разделением действий, продуктов и эффекта. Возражение о ригидности снимается правом мотивированно менять курс. Возражение о растворении ответственности снимается паспортом компетенции и запретом фиктивного единоличного владельца.</w:t>
      </w:r>
    </w:p>
    <w:p>
      <w:pPr>
        <w:pStyle w:val="Heading2"/>
        <w:keepNext/>
        <w:widowControl/>
      </w:pPr>
      <w:r>
        <w:rPr>
          <w:rFonts w:ascii="Carlito" w:hAnsi="Carlito"/>
        </w:rPr>
        <w:t>19. Связь с другими главами и вывод</w:t>
      </w:r>
    </w:p>
    <w:p>
      <w:pPr>
        <w:widowControl/>
      </w:pPr>
      <w:r>
        <w:rPr>
          <w:rFonts w:ascii="Carlito" w:hAnsi="Carlito"/>
          <w:i w:val="0"/>
        </w:rPr>
        <w:t>Глава применяется совместно с главами XXIII, XXV–XXVII, XXXIII и XXXVII. Реестр главы XXIII определяет исходный состав позиций; глава XXV обеспечивает данные; главы XXVI–XXVIII — аналитическую оценку; глава XXVII — изменение курса; глава XXXIII — финансовые гарантии; глава XXXVII — защиту политической приватности.</w:t>
      </w:r>
    </w:p>
    <w:p>
      <w:pPr>
        <w:pStyle w:val="DoctrineQuote"/>
        <w:widowControl/>
      </w:pPr>
      <w:r>
        <w:rPr>
          <w:rFonts w:ascii="Carlito" w:hAnsi="Carlito"/>
          <w:i w:val="0"/>
        </w:rPr>
        <w:t>План является обязательной картой ответственности, а не обещанием полного контроля над будущим.</w:t>
      </w:r>
    </w:p>
    <w:p>
      <w:pPr>
        <w:widowControl/>
      </w:pPr>
      <w:r>
        <w:rPr>
          <w:rFonts w:ascii="Carlito" w:hAnsi="Carlito"/>
        </w:rPr>
        <w:br w:type="page"/>
      </w:r>
    </w:p>
    <w:p>
      <w:pPr>
        <w:pStyle w:val="Heading1"/>
        <w:keepNext/>
        <w:pageBreakBefore/>
        <w:spacing w:before="0" w:after="160"/>
        <w:widowControl/>
        <w:pBdr>
          <w:bottom w:val="single" w:sz="5" w:space="4" w:color="B4C6E7"/>
        </w:pBdr>
      </w:pPr>
      <w:r>
        <w:rPr>
          <w:rFonts w:ascii="Carlito" w:hAnsi="Carlito"/>
        </w:rPr>
        <w:t>Глава XXV. Текущий мониторинг, открытые данные и промежуточная отчётность</w:t>
      </w:r>
    </w:p>
    <w:p>
      <w:pPr>
        <w:pStyle w:val="Heading2"/>
        <w:keepNext/>
        <w:widowControl/>
      </w:pPr>
      <w:r>
        <w:rPr>
          <w:rFonts w:ascii="Carlito" w:hAnsi="Carlito"/>
        </w:rPr>
        <w:t>1. Предмет и цель главы</w:t>
      </w:r>
    </w:p>
    <w:p>
      <w:pPr>
        <w:widowControl/>
      </w:pPr>
      <w:r>
        <w:rPr>
          <w:rFonts w:ascii="Carlito" w:hAnsi="Carlito"/>
          <w:i w:val="0"/>
        </w:rPr>
        <w:t>Настоящая глава устанавливает непрерывный публичный след исполнения: какие действия совершены, какие продукты созданы, какие данные подтверждают изменения, какие методики применены и какие ограничения препятствуют выводам.</w:t>
      </w:r>
    </w:p>
    <w:p>
      <w:pPr>
        <w:pStyle w:val="DoctrineQuote"/>
        <w:widowControl/>
      </w:pPr>
      <w:r>
        <w:rPr>
          <w:rFonts w:ascii="Carlito" w:hAnsi="Carlito"/>
          <w:i w:val="0"/>
        </w:rPr>
        <w:t>Мониторинг должен позволять любому добросовестному внешнему наблюдателю воспроизвести фактическую картину, не создавая централизованной истории политического поведения граждан.</w:t>
      </w:r>
    </w:p>
    <w:p>
      <w:pPr>
        <w:pStyle w:val="Heading2"/>
        <w:keepNext/>
        <w:widowControl/>
      </w:pPr>
      <w:r>
        <w:rPr>
          <w:rFonts w:ascii="Carlito" w:hAnsi="Carlito"/>
        </w:rPr>
        <w:t>2. Разграничение мониторинга, отчётности и оценки</w:t>
      </w:r>
    </w:p>
    <w:p>
      <w:pPr>
        <w:widowControl/>
      </w:pPr>
      <w:r>
        <w:rPr>
          <w:rFonts w:ascii="Carlito" w:hAnsi="Carlito"/>
          <w:i w:val="0"/>
        </w:rPr>
        <w:t>Мониторинг — регулярное получение и публикация данных. Промежуточная отчётность — объяснение ответственным субъектом состояния плана. Оценка — независимый аналитический вывод о значении фактов. Один и тот же орган не должен единолично владеть всеми тремя функциями.</w:t>
      </w:r>
    </w:p>
    <w:p>
      <w:pPr>
        <w:pStyle w:val="Heading2"/>
        <w:keepNext/>
        <w:widowControl/>
      </w:pPr>
      <w:r>
        <w:rPr>
          <w:rFonts w:ascii="Carlito" w:hAnsi="Carlito"/>
        </w:rPr>
        <w:t>3. Публичный реестр подотчётной реализации</w:t>
      </w:r>
    </w:p>
    <w:p>
      <w:pPr>
        <w:widowControl/>
      </w:pPr>
      <w:r>
        <w:rPr>
          <w:rFonts w:ascii="Carlito" w:hAnsi="Carlito"/>
          <w:i w:val="0"/>
        </w:rPr>
        <w:t>Каждое положение получает стабильный идентификатор, связанный с общественным мандатом, декларацией победителя, планом, наборами данных, изменениями, отчётами, оценками и архивом. Реорганизация органа или смена поставщика не меняет идентификатор и не прерывает историю.</w:t>
      </w:r>
    </w:p>
    <w:p>
      <w:pPr>
        <w:widowControl/>
      </w:pPr>
      <w:r>
        <w:rPr>
          <w:rFonts w:ascii="Carlito" w:hAnsi="Carlito"/>
          <w:i w:val="0"/>
        </w:rPr>
        <w:t>Реестр показывает не только актуальный статус, но и всю последовательность версий, авторов изменений, источников и замечаний.</w:t>
      </w:r>
    </w:p>
    <w:p>
      <w:pPr>
        <w:pStyle w:val="Heading2"/>
        <w:keepNext/>
        <w:widowControl/>
      </w:pPr>
      <w:r>
        <w:rPr>
          <w:rFonts w:ascii="Carlito" w:hAnsi="Carlito"/>
        </w:rPr>
        <w:t>4. Статусы данных</w:t>
      </w:r>
    </w:p>
    <w:p>
      <w:pPr>
        <w:widowControl/>
      </w:pPr>
      <w:r>
        <w:rPr>
          <w:rFonts w:ascii="Carlito" w:hAnsi="Carlito"/>
          <w:i w:val="0"/>
        </w:rPr>
        <w:t>Для предотвращения смешения факта и интерпретации данные маркируются как: первичные; проверенные; предварительные; расчётные; исправленные; оспариваемые; ограниченного доступа; архивные. Статус не заменяет источник и методику.</w:t>
      </w:r>
    </w:p>
    <w:p>
      <w:pPr>
        <w:pStyle w:val="Heading2"/>
        <w:keepNext/>
        <w:widowControl/>
      </w:pPr>
      <w:r>
        <w:rPr>
          <w:rFonts w:ascii="Carlito" w:hAnsi="Carlito"/>
        </w:rPr>
        <w:t>5. Открытые данные и воспроизводимость</w:t>
      </w:r>
    </w:p>
    <w:p>
      <w:pPr>
        <w:pStyle w:val="ListBullet"/>
        <w:widowControl/>
      </w:pPr>
      <w:r>
        <w:rPr>
          <w:rFonts w:ascii="Carlito" w:hAnsi="Carlito"/>
        </w:rPr>
        <w:t>машиночитаемые первичные наборы в пределах закона и защиты прав;</w:t>
      </w:r>
    </w:p>
    <w:p>
      <w:pPr>
        <w:pStyle w:val="ListBullet"/>
        <w:widowControl/>
      </w:pPr>
      <w:r>
        <w:rPr>
          <w:rFonts w:ascii="Carlito" w:hAnsi="Carlito"/>
        </w:rPr>
        <w:t>описание происхождения, владельца, даты, полноты и известных ограничений;</w:t>
      </w:r>
    </w:p>
    <w:p>
      <w:pPr>
        <w:pStyle w:val="ListBullet"/>
        <w:widowControl/>
      </w:pPr>
      <w:r>
        <w:rPr>
          <w:rFonts w:ascii="Carlito" w:hAnsi="Carlito"/>
        </w:rPr>
        <w:t>открытый интерфейс программного доступа (API) либо эквивалентный устойчивый способ массового доступа;</w:t>
      </w:r>
    </w:p>
    <w:p>
      <w:pPr>
        <w:pStyle w:val="ListBullet"/>
        <w:widowControl/>
      </w:pPr>
      <w:r>
        <w:rPr>
          <w:rFonts w:ascii="Carlito" w:hAnsi="Carlito"/>
        </w:rPr>
        <w:t>формулы, код расчётов и версии справочников, если показатель создан вычислением;</w:t>
      </w:r>
    </w:p>
    <w:p>
      <w:pPr>
        <w:pStyle w:val="ListBullet"/>
        <w:widowControl/>
      </w:pPr>
      <w:r>
        <w:rPr>
          <w:rFonts w:ascii="Carlito" w:hAnsi="Carlito"/>
        </w:rPr>
        <w:t>журнал исправлений и причины каждого изменения;</w:t>
      </w:r>
    </w:p>
    <w:p>
      <w:pPr>
        <w:pStyle w:val="ListBullet"/>
        <w:widowControl/>
      </w:pPr>
      <w:r>
        <w:rPr>
          <w:rFonts w:ascii="Carlito" w:hAnsi="Carlito"/>
        </w:rPr>
        <w:t>условия лицензирования, допускающие независимый анализ и общественный контроль;</w:t>
      </w:r>
    </w:p>
    <w:p>
      <w:pPr>
        <w:pStyle w:val="ListBullet"/>
        <w:widowControl/>
      </w:pPr>
      <w:r>
        <w:rPr>
          <w:rFonts w:ascii="Carlito" w:hAnsi="Carlito"/>
        </w:rPr>
        <w:t>долгосрочно доступные снимки данных, на которых основаны официальные отчёты.</w:t>
      </w:r>
    </w:p>
    <w:p>
      <w:pPr>
        <w:widowControl/>
      </w:pPr>
      <w:r>
        <w:rPr>
          <w:rFonts w:ascii="Carlito" w:hAnsi="Carlito"/>
          <w:i w:val="0"/>
        </w:rPr>
        <w:t>Панель визуализации является только представлением. При отсутствии доступных доказательств её показатели не считаются достаточной основой официального вывода.</w:t>
      </w:r>
    </w:p>
    <w:p>
      <w:pPr>
        <w:pStyle w:val="Heading2"/>
        <w:keepNext/>
        <w:widowControl/>
      </w:pPr>
      <w:r>
        <w:rPr>
          <w:rFonts w:ascii="Carlito" w:hAnsi="Carlito"/>
        </w:rPr>
        <w:t>6. Версионирование методик и исторический ряд</w:t>
      </w:r>
    </w:p>
    <w:p>
      <w:pPr>
        <w:widowControl/>
      </w:pPr>
      <w:r>
        <w:rPr>
          <w:rFonts w:ascii="Carlito" w:hAnsi="Carlito"/>
          <w:i w:val="0"/>
        </w:rPr>
        <w:t>Изменение методики допускается при улучшении качества или изменении обстоятельств, но не может переписать прошлое. Новая методика публикуется вместе с картой различий и, когда это практически возможно, с параллельным пересчётом по старой и новой формулам.</w:t>
      </w:r>
    </w:p>
    <w:p>
      <w:pPr>
        <w:widowControl/>
      </w:pPr>
      <w:r>
        <w:rPr>
          <w:rFonts w:ascii="Carlito" w:hAnsi="Carlito"/>
          <w:i w:val="0"/>
        </w:rPr>
        <w:t>Запрещается менять методику непосредственно перед промежуточной или итоговой оценкой без объективной необходимости, публичной мотивировки и возможности независимого повторения расчёта.</w:t>
      </w:r>
    </w:p>
    <w:p>
      <w:pPr>
        <w:pStyle w:val="Heading2"/>
        <w:keepNext/>
        <w:widowControl/>
      </w:pPr>
      <w:r>
        <w:rPr>
          <w:rFonts w:ascii="Carlito" w:hAnsi="Carlito"/>
        </w:rPr>
        <w:t>7. Иерархия показателей</w:t>
      </w:r>
    </w:p>
    <w:p>
      <w:pPr>
        <w:widowControl/>
        <w:ind w:left="369" w:hanging="369"/>
      </w:pPr>
      <w:r>
        <w:rPr>
          <w:rFonts w:ascii="Carlito" w:hAnsi="Carlito"/>
          <w:b/>
        </w:rPr>
        <w:t xml:space="preserve">1. </w:t>
      </w:r>
      <w:r>
        <w:rPr>
          <w:rFonts w:ascii="Carlito" w:hAnsi="Carlito"/>
        </w:rPr>
        <w:t>собственные действия компетентного субъекта;</w:t>
      </w:r>
    </w:p>
    <w:p>
      <w:pPr>
        <w:widowControl/>
        <w:ind w:left="369" w:hanging="369"/>
      </w:pPr>
      <w:r>
        <w:rPr>
          <w:rFonts w:ascii="Carlito" w:hAnsi="Carlito"/>
          <w:b/>
        </w:rPr>
        <w:t xml:space="preserve">2. </w:t>
      </w:r>
      <w:r>
        <w:rPr>
          <w:rFonts w:ascii="Carlito" w:hAnsi="Carlito"/>
        </w:rPr>
        <w:t>промежуточные продукты и качество их доступности;</w:t>
      </w:r>
    </w:p>
    <w:p>
      <w:pPr>
        <w:widowControl/>
        <w:ind w:left="369" w:hanging="369"/>
      </w:pPr>
      <w:r>
        <w:rPr>
          <w:rFonts w:ascii="Carlito" w:hAnsi="Carlito"/>
          <w:b/>
        </w:rPr>
        <w:t xml:space="preserve">3. </w:t>
      </w:r>
      <w:r>
        <w:rPr>
          <w:rFonts w:ascii="Carlito" w:hAnsi="Carlito"/>
        </w:rPr>
        <w:t>общественный результат и его устойчивость;</w:t>
      </w:r>
    </w:p>
    <w:p>
      <w:pPr>
        <w:widowControl/>
        <w:ind w:left="369" w:hanging="369"/>
      </w:pPr>
      <w:r>
        <w:rPr>
          <w:rFonts w:ascii="Carlito" w:hAnsi="Carlito"/>
          <w:b/>
        </w:rPr>
        <w:t xml:space="preserve">4. </w:t>
      </w:r>
      <w:r>
        <w:rPr>
          <w:rFonts w:ascii="Carlito" w:hAnsi="Carlito"/>
        </w:rPr>
        <w:t>распределительные последствия по территориям и группам;</w:t>
      </w:r>
    </w:p>
    <w:p>
      <w:pPr>
        <w:widowControl/>
        <w:ind w:left="369" w:hanging="369"/>
      </w:pPr>
      <w:r>
        <w:rPr>
          <w:rFonts w:ascii="Carlito" w:hAnsi="Carlito"/>
          <w:b/>
        </w:rPr>
        <w:t xml:space="preserve">5. </w:t>
      </w:r>
      <w:r>
        <w:rPr>
          <w:rFonts w:ascii="Carlito" w:hAnsi="Carlito"/>
        </w:rPr>
        <w:t>защитные показатели прав, безопасности, финансовой устойчивости и качества;</w:t>
      </w:r>
    </w:p>
    <w:p>
      <w:pPr>
        <w:widowControl/>
        <w:ind w:left="369" w:hanging="369"/>
      </w:pPr>
      <w:r>
        <w:rPr>
          <w:rFonts w:ascii="Carlito" w:hAnsi="Carlito"/>
          <w:b/>
        </w:rPr>
        <w:t xml:space="preserve">6. </w:t>
      </w:r>
      <w:r>
        <w:rPr>
          <w:rFonts w:ascii="Carlito" w:hAnsi="Carlito"/>
        </w:rPr>
        <w:t>внешние факторы и границы причинного вывода.</w:t>
      </w:r>
    </w:p>
    <w:p>
      <w:pPr>
        <w:widowControl/>
      </w:pPr>
      <w:r>
        <w:rPr>
          <w:rFonts w:ascii="Carlito" w:hAnsi="Carlito"/>
          <w:i w:val="0"/>
        </w:rPr>
        <w:t>Не допускается единый официальный процент исполнения, создаваемый механическим суммированием этих уровней. Для краткого представления используется многомерная карточка без агрегированного итогового балла.</w:t>
      </w:r>
    </w:p>
    <w:p>
      <w:pPr>
        <w:pStyle w:val="Heading2"/>
        <w:keepNext/>
        <w:widowControl/>
      </w:pPr>
      <w:r>
        <w:rPr>
          <w:rFonts w:ascii="Carlito" w:hAnsi="Carlito"/>
        </w:rPr>
        <w:t>8. Периодичность и пропорциональность</w:t>
      </w:r>
    </w:p>
    <w:p>
      <w:pPr>
        <w:widowControl/>
      </w:pPr>
      <w:r>
        <w:rPr>
          <w:rFonts w:ascii="Carlito" w:hAnsi="Carlito"/>
          <w:i w:val="0"/>
        </w:rPr>
        <w:t>Частота обновления зависит от риска и природы показателя. Операционные данные могут обновляться регулярно, социальные эффекты — по доступности достоверной статистики. Избыточная отчётность, не создающая новой информации, должна исключаться.</w:t>
      </w:r>
    </w:p>
    <w:p>
      <w:pPr>
        <w:widowControl/>
      </w:pPr>
      <w:r>
        <w:rPr>
          <w:rFonts w:ascii="Carlito" w:hAnsi="Carlito"/>
          <w:i w:val="0"/>
        </w:rPr>
        <w:t>Для каждого поля заранее определяется владелец данных, периодичность, допустимая задержка и дата следующего обновления.</w:t>
      </w:r>
    </w:p>
    <w:p>
      <w:pPr>
        <w:pStyle w:val="Heading2"/>
        <w:keepNext/>
        <w:widowControl/>
      </w:pPr>
      <w:r>
        <w:rPr>
          <w:rFonts w:ascii="Carlito" w:hAnsi="Carlito"/>
        </w:rPr>
        <w:t>9. Качество данных и независимая проверка</w:t>
      </w:r>
    </w:p>
    <w:p>
      <w:pPr>
        <w:widowControl/>
      </w:pPr>
      <w:r>
        <w:rPr>
          <w:rFonts w:ascii="Carlito" w:hAnsi="Carlito"/>
          <w:i w:val="0"/>
        </w:rPr>
        <w:t>Орган, заинтересованный в результате, не должен единолично подтверждать качество собственных данных. Применяются автоматические тесты, статистические проверки, выборочный аудит, сопоставление независимых источников и возможность внешней репликации.</w:t>
      </w:r>
    </w:p>
    <w:p>
      <w:pPr>
        <w:widowControl/>
      </w:pPr>
      <w:r>
        <w:rPr>
          <w:rFonts w:ascii="Carlito" w:hAnsi="Carlito"/>
          <w:i w:val="0"/>
        </w:rPr>
        <w:t>Ошибки классифицируются по существенности. Существенная ошибка немедленно маркируется и исправляется без удаления прежней версии. Сокрытие известной ошибки является отдельным нарушением.</w:t>
      </w:r>
    </w:p>
    <w:p>
      <w:pPr>
        <w:pStyle w:val="Heading2"/>
        <w:keepNext/>
        <w:widowControl/>
      </w:pPr>
      <w:r>
        <w:rPr>
          <w:rFonts w:ascii="Carlito" w:hAnsi="Carlito"/>
        </w:rPr>
        <w:t>10. Отсутствующие и задержанные данные</w:t>
      </w:r>
    </w:p>
    <w:p>
      <w:pPr>
        <w:widowControl/>
      </w:pPr>
      <w:r>
        <w:rPr>
          <w:rFonts w:ascii="Carlito" w:hAnsi="Carlito"/>
          <w:i w:val="0"/>
        </w:rPr>
        <w:t>Отсутствие данных не трактуется автоматически ни в пользу, ни против исполнителя. Реестр показывает причину, субъект, который обязан был предоставить сведения, влияние пробела на вывод и план восстановления.</w:t>
      </w:r>
    </w:p>
    <w:p>
      <w:pPr>
        <w:widowControl/>
      </w:pPr>
      <w:r>
        <w:rPr>
          <w:rFonts w:ascii="Carlito" w:hAnsi="Carlito"/>
          <w:i w:val="0"/>
        </w:rPr>
        <w:t>Самосозданная невозможность — отсутствие данных вследствие непринятия разумных мер по их сбору — не может использоваться как оправдание неисполнения процедурной обязанности.</w:t>
      </w:r>
    </w:p>
    <w:p>
      <w:pPr>
        <w:pStyle w:val="Heading2"/>
        <w:keepNext/>
        <w:widowControl/>
      </w:pPr>
      <w:r>
        <w:rPr>
          <w:rFonts w:ascii="Carlito" w:hAnsi="Carlito"/>
        </w:rPr>
        <w:t>11. Сведения ограниченного доступа</w:t>
      </w:r>
    </w:p>
    <w:p>
      <w:pPr>
        <w:widowControl/>
      </w:pPr>
      <w:r>
        <w:rPr>
          <w:rFonts w:ascii="Carlito" w:hAnsi="Carlito"/>
          <w:i w:val="0"/>
        </w:rPr>
        <w:t>Закрытие допускается только на основании конкретной нормы и в минимально необходимом объёме. Независимый аудитор с законным допуском проверяет закрытую часть, а общественности предоставляется содержательное резюме, позволяющее понять характер действия, расхода и риска без раскрытия охраняемых сведений.</w:t>
      </w:r>
    </w:p>
    <w:p>
      <w:pPr>
        <w:widowControl/>
      </w:pPr>
      <w:r>
        <w:rPr>
          <w:rFonts w:ascii="Carlito" w:hAnsi="Carlito"/>
          <w:i w:val="0"/>
        </w:rPr>
        <w:t>Гриф имеет срок пересмотра. Необоснованное засекречивание, использование грифа для сокрытия нарушения и отказ представить сведения законному аудитору влекут обычную юридическую ответственность.</w:t>
      </w:r>
    </w:p>
    <w:p>
      <w:pPr>
        <w:pStyle w:val="Heading2"/>
        <w:keepNext/>
        <w:widowControl/>
      </w:pPr>
      <w:r>
        <w:rPr>
          <w:rFonts w:ascii="Carlito" w:hAnsi="Carlito"/>
        </w:rPr>
        <w:t>12. Персональные данные и политическая несвязываемость</w:t>
      </w:r>
    </w:p>
    <w:p>
      <w:pPr>
        <w:widowControl/>
      </w:pPr>
      <w:r>
        <w:rPr>
          <w:rFonts w:ascii="Carlito" w:hAnsi="Carlito"/>
          <w:i w:val="0"/>
        </w:rPr>
        <w:t>Мониторинг исполнения не требует хранения индивидуальной истории инициатив, поддержки, обсуждений или голосования граждан. Публичные наборы агрегируются и проверяются на риск повторной идентификации. Данные, позволяющие восстановить политический профиль, не включаются в реестр и не объединяются с административными системами.</w:t>
      </w:r>
    </w:p>
    <w:p>
      <w:pPr>
        <w:pStyle w:val="Heading2"/>
        <w:keepNext/>
        <w:widowControl/>
      </w:pPr>
      <w:r>
        <w:rPr>
          <w:rFonts w:ascii="Carlito" w:hAnsi="Carlito"/>
        </w:rPr>
        <w:t>13. Защита от формального исполнения и эффекта Гудхарта</w:t>
      </w:r>
    </w:p>
    <w:p>
      <w:pPr>
        <w:widowControl/>
      </w:pPr>
      <w:r>
        <w:rPr>
          <w:rFonts w:ascii="Carlito" w:hAnsi="Carlito"/>
          <w:i w:val="0"/>
        </w:rPr>
        <w:t>При выявлении оптимизации под показатель публикуется диагностическая записка: как изменилось поведение, какой реальный эффект утрачен и какие защитные показатели необходимы. Замена показателя проходит процедуру версионирования и не аннулирует прежние данные.</w:t>
      </w:r>
    </w:p>
    <w:p>
      <w:pPr>
        <w:widowControl/>
      </w:pPr>
      <w:r>
        <w:rPr>
          <w:rFonts w:ascii="Carlito" w:hAnsi="Carlito"/>
          <w:i w:val="0"/>
        </w:rPr>
        <w:t>Исполнение вспомогательных действий не компенсирует провал критического пути. Освоение бюджета не является самостоятельным доказательством достижения цели.</w:t>
      </w:r>
    </w:p>
    <w:p>
      <w:pPr>
        <w:pStyle w:val="Heading2"/>
        <w:keepNext/>
        <w:widowControl/>
      </w:pPr>
      <w:r>
        <w:rPr>
          <w:rFonts w:ascii="Carlito" w:hAnsi="Carlito"/>
        </w:rPr>
        <w:t>14. Промежуточный отчёт ответственного субъекта</w:t>
      </w:r>
    </w:p>
    <w:p>
      <w:pPr>
        <w:widowControl/>
      </w:pPr>
      <w:r>
        <w:rPr>
          <w:rFonts w:ascii="Carlito" w:hAnsi="Carlito"/>
          <w:i w:val="0"/>
        </w:rPr>
        <w:t>Отчёт содержит факты, расхождения с планом, объяснение причин, изменение рисков, бюджетное состояние, действия по исправлению, внешние зависимости и ожидаемую дату следующего решения. Он подписывается уполномоченным лицом, сохраняется неизменяемо и допускает официальный ответ соисполнителей.</w:t>
      </w:r>
    </w:p>
    <w:p>
      <w:pPr>
        <w:pStyle w:val="Heading2"/>
        <w:keepNext/>
        <w:widowControl/>
      </w:pPr>
      <w:r>
        <w:rPr>
          <w:rFonts w:ascii="Carlito" w:hAnsi="Carlito"/>
        </w:rPr>
        <w:t>15. Внешняя репликация и общественный контроль</w:t>
      </w:r>
    </w:p>
    <w:p>
      <w:pPr>
        <w:widowControl/>
      </w:pPr>
      <w:r>
        <w:rPr>
          <w:rFonts w:ascii="Carlito" w:hAnsi="Carlito"/>
          <w:i w:val="0"/>
        </w:rPr>
        <w:t>Исследователь, медиа, гражданская организация или иной субъект вправе воспроизвести расчёт и опубликовать альтернативный вывод. Официальная система не присваивает одной интерпретации монополию, но обязана исправлять установленные фактические ошибки и отвечать на документированное несоответствие.</w:t>
      </w:r>
    </w:p>
    <w:p>
      <w:pPr>
        <w:pStyle w:val="Heading2"/>
        <w:keepNext/>
        <w:widowControl/>
      </w:pPr>
      <w:r>
        <w:rPr>
          <w:rFonts w:ascii="Carlito" w:hAnsi="Carlito"/>
        </w:rPr>
        <w:t>16. Жалобы и исправление фактических ошибок</w:t>
      </w:r>
    </w:p>
    <w:p>
      <w:pPr>
        <w:widowControl/>
      </w:pPr>
      <w:r>
        <w:rPr>
          <w:rFonts w:ascii="Carlito" w:hAnsi="Carlito"/>
          <w:i w:val="0"/>
        </w:rPr>
        <w:t>Любое лицо вправе указать на неверную цифру, источник, дату, формулу, пропуск либо нарушение доступности. Жалоба рассматривается в короткий срок органом, не заинтересованным в сохранении ошибки. Решение, данные и история исправления публикуются.</w:t>
      </w:r>
    </w:p>
    <w:p>
      <w:pPr>
        <w:widowControl/>
      </w:pPr>
      <w:r>
        <w:rPr>
          <w:rFonts w:ascii="Carlito" w:hAnsi="Carlito"/>
          <w:i w:val="0"/>
        </w:rPr>
        <w:t>Спор о политической значимости факта решается публичной аргументацией, а не административным запретом альтернативной оценки.</w:t>
      </w:r>
    </w:p>
    <w:p>
      <w:pPr>
        <w:pStyle w:val="Heading2"/>
        <w:keepNext/>
        <w:widowControl/>
      </w:pPr>
      <w:r>
        <w:rPr>
          <w:rFonts w:ascii="Carlito" w:hAnsi="Carlito"/>
        </w:rPr>
        <w:t>17. Инциденты и непрерывность</w:t>
      </w:r>
    </w:p>
    <w:p>
      <w:pPr>
        <w:widowControl/>
      </w:pPr>
      <w:r>
        <w:rPr>
          <w:rFonts w:ascii="Carlito" w:hAnsi="Carlito"/>
          <w:i w:val="0"/>
        </w:rPr>
        <w:t>При сбое, атаке или утрате данных включается заранее опубликованный план восстановления. Отсутствие единственной точки хранения, независимые резервные копии и проверяемые журналы должны позволять восстановить историю без присвоения одному поставщику права определять истинную версию.</w:t>
      </w:r>
    </w:p>
    <w:p>
      <w:pPr>
        <w:pStyle w:val="Heading2"/>
        <w:keepNext/>
        <w:widowControl/>
      </w:pPr>
      <w:r>
        <w:rPr>
          <w:rFonts w:ascii="Carlito" w:hAnsi="Carlito"/>
        </w:rPr>
        <w:t>18. Ответственность</w:t>
      </w:r>
    </w:p>
    <w:p>
      <w:pPr>
        <w:widowControl/>
      </w:pPr>
      <w:r>
        <w:rPr>
          <w:rFonts w:ascii="Carlito" w:hAnsi="Carlito"/>
          <w:i w:val="0"/>
        </w:rPr>
        <w:t>Ответственность наступает за сознательное искажение, уничтожение, незаконное засекречивание, непубликацию обязательного набора, изменение без версии, вмешательство в внешний аудит и повторную идентификацию граждан. Добросовестное уточнение предварительных данных не наказывается при полной прослеживаемости.</w:t>
      </w:r>
    </w:p>
    <w:p>
      <w:pPr>
        <w:pStyle w:val="Heading2"/>
        <w:keepNext/>
        <w:widowControl/>
      </w:pPr>
      <w:r>
        <w:rPr>
          <w:rFonts w:ascii="Carlito" w:hAnsi="Carlito"/>
        </w:rPr>
        <w:t>19. Сильнейшие возражения и встроенные ответы</w:t>
      </w:r>
    </w:p>
    <w:p>
      <w:pPr>
        <w:widowControl/>
      </w:pPr>
      <w:r>
        <w:rPr>
          <w:rFonts w:ascii="Carlito" w:hAnsi="Carlito"/>
          <w:i w:val="0"/>
        </w:rPr>
        <w:t>Возражение о производстве удобной статистики снимается открытыми данными и альтернативной репликацией. Возражение о чрезмерной стоимости ограничивается риск-ориентированной периодичностью и использованием общегосударственной инфраструктуры открытых данных. Конфликт прозрачности и тайны разрешается разделением данных исполнения и данных политического участия.</w:t>
      </w:r>
    </w:p>
    <w:p>
      <w:pPr>
        <w:pStyle w:val="Heading2"/>
        <w:keepNext/>
        <w:widowControl/>
      </w:pPr>
      <w:r>
        <w:rPr>
          <w:rFonts w:ascii="Carlito" w:hAnsi="Carlito"/>
        </w:rPr>
        <w:t>20. Связь с другими главами и вывод</w:t>
      </w:r>
    </w:p>
    <w:p>
      <w:pPr>
        <w:widowControl/>
      </w:pPr>
      <w:r>
        <w:rPr>
          <w:rFonts w:ascii="Carlito" w:hAnsi="Carlito"/>
          <w:i w:val="0"/>
        </w:rPr>
        <w:t>Глава применяется совместно с главами XXIV, XXVI, XXX, XXXIII, XXXVI и XXXVII. Она обеспечивает доказательную основу оценок, но не определяет их политический смысл единолично.</w:t>
      </w:r>
    </w:p>
    <w:p>
      <w:pPr>
        <w:pStyle w:val="DoctrineQuote"/>
        <w:widowControl/>
      </w:pPr>
      <w:r>
        <w:rPr>
          <w:rFonts w:ascii="Carlito" w:hAnsi="Carlito"/>
          <w:i w:val="0"/>
        </w:rPr>
        <w:t>Открытость — это не официальный экран с удобными цифрами, а возможность независимо проверить происхождение, расчёт и историю каждого существенного вывода.</w:t>
      </w:r>
    </w:p>
    <w:p>
      <w:pPr>
        <w:widowControl/>
      </w:pPr>
      <w:r>
        <w:rPr>
          <w:rFonts w:ascii="Carlito" w:hAnsi="Carlito"/>
        </w:rPr>
        <w:br w:type="page"/>
      </w:r>
    </w:p>
    <w:p>
      <w:pPr>
        <w:pStyle w:val="Heading1"/>
        <w:keepNext/>
        <w:pageBreakBefore/>
        <w:spacing w:before="0" w:after="160"/>
        <w:widowControl/>
        <w:pBdr>
          <w:bottom w:val="single" w:sz="5" w:space="4" w:color="B4C6E7"/>
        </w:pBdr>
      </w:pPr>
      <w:r>
        <w:rPr>
          <w:rFonts w:ascii="Carlito" w:hAnsi="Carlito"/>
        </w:rPr>
        <w:t>Глава XXVI. Промежуточная оценка исполнения и корректировка курса</w:t>
      </w:r>
    </w:p>
    <w:p>
      <w:pPr>
        <w:pStyle w:val="Heading2"/>
        <w:keepNext/>
        <w:widowControl/>
      </w:pPr>
      <w:r>
        <w:rPr>
          <w:rFonts w:ascii="Carlito" w:hAnsi="Carlito"/>
        </w:rPr>
        <w:t>1. Предмет и цель главы</w:t>
      </w:r>
    </w:p>
    <w:p>
      <w:pPr>
        <w:widowControl/>
      </w:pPr>
      <w:r>
        <w:rPr>
          <w:rFonts w:ascii="Carlito" w:hAnsi="Carlito"/>
          <w:i w:val="0"/>
        </w:rPr>
        <w:t>Настоящая глава регулирует независимое промежуточное рассмотрение хода реализации и порядок подготовки корректирующих решений. Промежуточная оценка нужна для обучения и раннего обнаружения вреда, а не для создания не предусмотренного конституцией вотума доверия в середине срока.</w:t>
      </w:r>
    </w:p>
    <w:p>
      <w:pPr>
        <w:pStyle w:val="DoctrineQuote"/>
        <w:widowControl/>
      </w:pPr>
      <w:r>
        <w:rPr>
          <w:rFonts w:ascii="Carlito" w:hAnsi="Carlito"/>
          <w:i w:val="0"/>
        </w:rPr>
        <w:t>Промежуточная оценка является доказательным аналитическим отчётом. Она не ограничивает полномочия избранной власти, не присваивает ей официальный балл и не создаёт автоматических санкций.</w:t>
      </w:r>
    </w:p>
    <w:p>
      <w:pPr>
        <w:pStyle w:val="Heading2"/>
        <w:keepNext/>
        <w:widowControl/>
      </w:pPr>
      <w:r>
        <w:rPr>
          <w:rFonts w:ascii="Carlito" w:hAnsi="Carlito"/>
        </w:rPr>
        <w:t>2. Цели промежуточной оценки</w:t>
      </w:r>
    </w:p>
    <w:p>
      <w:pPr>
        <w:pStyle w:val="ListBullet"/>
        <w:widowControl/>
      </w:pPr>
      <w:r>
        <w:rPr>
          <w:rFonts w:ascii="Carlito" w:hAnsi="Carlito"/>
        </w:rPr>
        <w:t>проверить достоверность данных и состояние критического пути;</w:t>
      </w:r>
    </w:p>
    <w:p>
      <w:pPr>
        <w:pStyle w:val="ListBullet"/>
        <w:widowControl/>
      </w:pPr>
      <w:r>
        <w:rPr>
          <w:rFonts w:ascii="Carlito" w:hAnsi="Carlito"/>
        </w:rPr>
        <w:t>отделить собственные действия исполнителя от решений других институтов и внешней среды;</w:t>
      </w:r>
    </w:p>
    <w:p>
      <w:pPr>
        <w:pStyle w:val="ListBullet"/>
        <w:widowControl/>
      </w:pPr>
      <w:r>
        <w:rPr>
          <w:rFonts w:ascii="Carlito" w:hAnsi="Carlito"/>
        </w:rPr>
        <w:t>выявить формальное исполнение, непреднамеренные последствия и распределительные потери;</w:t>
      </w:r>
    </w:p>
    <w:p>
      <w:pPr>
        <w:pStyle w:val="ListBullet"/>
        <w:widowControl/>
      </w:pPr>
      <w:r>
        <w:rPr>
          <w:rFonts w:ascii="Carlito" w:hAnsi="Carlito"/>
        </w:rPr>
        <w:t>проверить, сохраняет ли план смысл принятой позиции;</w:t>
      </w:r>
    </w:p>
    <w:p>
      <w:pPr>
        <w:pStyle w:val="ListBullet"/>
        <w:widowControl/>
      </w:pPr>
      <w:r>
        <w:rPr>
          <w:rFonts w:ascii="Carlito" w:hAnsi="Carlito"/>
        </w:rPr>
        <w:t>предложить варианты коррекции без присвоения права политического вето;</w:t>
      </w:r>
    </w:p>
    <w:p>
      <w:pPr>
        <w:pStyle w:val="ListBullet"/>
        <w:widowControl/>
      </w:pPr>
      <w:r>
        <w:rPr>
          <w:rFonts w:ascii="Carlito" w:hAnsi="Carlito"/>
        </w:rPr>
        <w:t>заранее предупредить граждан о существенном изменении вероятности достижения цели.</w:t>
      </w:r>
    </w:p>
    <w:p>
      <w:pPr>
        <w:pStyle w:val="Heading2"/>
        <w:keepNext/>
        <w:widowControl/>
      </w:pPr>
      <w:r>
        <w:rPr>
          <w:rFonts w:ascii="Carlito" w:hAnsi="Carlito"/>
        </w:rPr>
        <w:t>3. Периодичность и объём</w:t>
      </w:r>
    </w:p>
    <w:p>
      <w:pPr>
        <w:widowControl/>
      </w:pPr>
      <w:r>
        <w:rPr>
          <w:rFonts w:ascii="Carlito" w:hAnsi="Carlito"/>
          <w:i w:val="0"/>
        </w:rPr>
        <w:t>По общему правилу проводится одна глубокая среднесрочная оценка. Ежегодно допускается облегчённый обзор данных и процедур. Дополнительная глубокая оценка возможна при существенном риске для прав, бюджета, безопасности, при резком изменении обстоятельств либо по решению компетентного парламента или аудиторского органа.</w:t>
      </w:r>
    </w:p>
    <w:p>
      <w:pPr>
        <w:widowControl/>
      </w:pPr>
      <w:r>
        <w:rPr>
          <w:rFonts w:ascii="Carlito" w:hAnsi="Carlito"/>
          <w:i w:val="0"/>
        </w:rPr>
        <w:t>Оценка может охватывать выборку наиболее значимых, рискованных или спорных положений. Требование каждый год проводить полный анализ всего реестра считается несоразмерным и создающим бюрократическое управление ради отчётности.</w:t>
      </w:r>
    </w:p>
    <w:p>
      <w:pPr>
        <w:pStyle w:val="Heading2"/>
        <w:keepNext/>
        <w:widowControl/>
      </w:pPr>
      <w:r>
        <w:rPr>
          <w:rFonts w:ascii="Carlito" w:hAnsi="Carlito"/>
        </w:rPr>
        <w:t>4. Субъект оценки</w:t>
      </w:r>
    </w:p>
    <w:p>
      <w:pPr>
        <w:widowControl/>
      </w:pPr>
      <w:r>
        <w:rPr>
          <w:rFonts w:ascii="Carlito" w:hAnsi="Carlito"/>
          <w:i w:val="0"/>
        </w:rPr>
        <w:t>Оценку проводит временный плюралистический консорциум либо существующий независимый аудиторский, парламентский или исследовательский контур, специально сформированный для данного цикла. Он прекращает полномочия после публикации отчёта и завершения процедур исправления фактов.</w:t>
      </w:r>
    </w:p>
    <w:p>
      <w:pPr>
        <w:widowControl/>
      </w:pPr>
      <w:r>
        <w:rPr>
          <w:rFonts w:ascii="Carlito" w:hAnsi="Carlito"/>
          <w:i w:val="0"/>
        </w:rPr>
        <w:t>Не допускается постоянный орган, который одновременно формирует повестку, утверждает показатели, владеет данными, оценивает результат и определяет последствия. Функции методики, аудита данных, содержательной оценки и рассмотрения фактических жалоб распределяются.</w:t>
      </w:r>
    </w:p>
    <w:p>
      <w:pPr>
        <w:pStyle w:val="Heading2"/>
        <w:keepNext/>
        <w:widowControl/>
      </w:pPr>
      <w:r>
        <w:rPr>
          <w:rFonts w:ascii="Carlito" w:hAnsi="Carlito"/>
        </w:rPr>
        <w:t>5. Формирование и независимость</w:t>
      </w:r>
    </w:p>
    <w:p>
      <w:pPr>
        <w:widowControl/>
      </w:pPr>
      <w:r>
        <w:rPr>
          <w:rFonts w:ascii="Carlito" w:hAnsi="Carlito"/>
          <w:i w:val="0"/>
        </w:rPr>
        <w:t>Состав формируется из нескольких источников, ни один из которых не контролирует большинство. Используются открытые квалификационные требования, проверка конфликтов интересов, ограниченный невозобновляемый мандат, раскрытие финансирования и право заявить мотивированный отвод.</w:t>
      </w:r>
    </w:p>
    <w:p>
      <w:pPr>
        <w:widowControl/>
      </w:pPr>
      <w:r>
        <w:rPr>
          <w:rFonts w:ascii="Carlito" w:hAnsi="Carlito"/>
          <w:i w:val="0"/>
        </w:rPr>
        <w:t>Для значимых разногласий обеспечивается присутствие специалистов с различными методологическими подходами. Представительство не означает право политических субъектов назначать собственных делегатов с обязательным голосованием по линии партии.</w:t>
      </w:r>
    </w:p>
    <w:p>
      <w:pPr>
        <w:pStyle w:val="Heading2"/>
        <w:keepNext/>
        <w:widowControl/>
      </w:pPr>
      <w:r>
        <w:rPr>
          <w:rFonts w:ascii="Carlito" w:hAnsi="Carlito"/>
        </w:rPr>
        <w:t>6. Предварительная регистрация методики</w:t>
      </w:r>
    </w:p>
    <w:p>
      <w:pPr>
        <w:widowControl/>
      </w:pPr>
      <w:r>
        <w:rPr>
          <w:rFonts w:ascii="Carlito" w:hAnsi="Carlito"/>
          <w:i w:val="0"/>
        </w:rPr>
        <w:t>До доступа к итоговым данным публикуются предмет, вопросы, показатели, источники, причинная модель, критерии существенности, способы работы с неопределённостью и календарь. Изменение методики после ознакомления с результатом допускается только с открытой мотивировкой и одновременным расчётом по первоначальной версии.</w:t>
      </w:r>
    </w:p>
    <w:p>
      <w:pPr>
        <w:widowControl/>
      </w:pPr>
      <w:r>
        <w:rPr>
          <w:rFonts w:ascii="Carlito" w:hAnsi="Carlito"/>
          <w:i w:val="0"/>
        </w:rPr>
        <w:t>Предварительная регистрация не запрещает исследовательское обучение, но делает видимым влияние изменения метода на вывод.</w:t>
      </w:r>
    </w:p>
    <w:p>
      <w:pPr>
        <w:pStyle w:val="Heading2"/>
        <w:keepNext/>
        <w:widowControl/>
      </w:pPr>
      <w:r>
        <w:rPr>
          <w:rFonts w:ascii="Carlito" w:hAnsi="Carlito"/>
        </w:rPr>
        <w:t>7. Объекты анализа</w:t>
      </w:r>
    </w:p>
    <w:p>
      <w:pPr>
        <w:widowControl/>
        <w:ind w:left="369" w:hanging="369"/>
      </w:pPr>
      <w:r>
        <w:rPr>
          <w:rFonts w:ascii="Carlito" w:hAnsi="Carlito"/>
          <w:b/>
        </w:rPr>
        <w:t xml:space="preserve">1. </w:t>
      </w:r>
      <w:r>
        <w:rPr>
          <w:rFonts w:ascii="Carlito" w:hAnsi="Carlito"/>
        </w:rPr>
        <w:t>совершены ли действия, находившиеся в собственной компетенции;</w:t>
      </w:r>
    </w:p>
    <w:p>
      <w:pPr>
        <w:widowControl/>
        <w:ind w:left="369" w:hanging="369"/>
      </w:pPr>
      <w:r>
        <w:rPr>
          <w:rFonts w:ascii="Carlito" w:hAnsi="Carlito"/>
          <w:b/>
        </w:rPr>
        <w:t xml:space="preserve">2. </w:t>
      </w:r>
      <w:r>
        <w:rPr>
          <w:rFonts w:ascii="Carlito" w:hAnsi="Carlito"/>
        </w:rPr>
        <w:t>выполнены ли обязательные процедуры и соблюдены ли права;</w:t>
      </w:r>
    </w:p>
    <w:p>
      <w:pPr>
        <w:widowControl/>
        <w:ind w:left="369" w:hanging="369"/>
      </w:pPr>
      <w:r>
        <w:rPr>
          <w:rFonts w:ascii="Carlito" w:hAnsi="Carlito"/>
          <w:b/>
        </w:rPr>
        <w:t xml:space="preserve">3. </w:t>
      </w:r>
      <w:r>
        <w:rPr>
          <w:rFonts w:ascii="Carlito" w:hAnsi="Carlito"/>
        </w:rPr>
        <w:t>созданы ли промежуточные продукты и каково их качество;</w:t>
      </w:r>
    </w:p>
    <w:p>
      <w:pPr>
        <w:widowControl/>
        <w:ind w:left="369" w:hanging="369"/>
      </w:pPr>
      <w:r>
        <w:rPr>
          <w:rFonts w:ascii="Carlito" w:hAnsi="Carlito"/>
          <w:b/>
        </w:rPr>
        <w:t xml:space="preserve">4. </w:t>
      </w:r>
      <w:r>
        <w:rPr>
          <w:rFonts w:ascii="Carlito" w:hAnsi="Carlito"/>
        </w:rPr>
        <w:t>изменились ли общественные результаты и для каких групп;</w:t>
      </w:r>
    </w:p>
    <w:p>
      <w:pPr>
        <w:widowControl/>
        <w:ind w:left="369" w:hanging="369"/>
      </w:pPr>
      <w:r>
        <w:rPr>
          <w:rFonts w:ascii="Carlito" w:hAnsi="Carlito"/>
          <w:b/>
        </w:rPr>
        <w:t xml:space="preserve">5. </w:t>
      </w:r>
      <w:r>
        <w:rPr>
          <w:rFonts w:ascii="Carlito" w:hAnsi="Carlito"/>
        </w:rPr>
        <w:t>каковы фактические расходы и альтернативная стоимость;</w:t>
      </w:r>
    </w:p>
    <w:p>
      <w:pPr>
        <w:widowControl/>
        <w:ind w:left="369" w:hanging="369"/>
      </w:pPr>
      <w:r>
        <w:rPr>
          <w:rFonts w:ascii="Carlito" w:hAnsi="Carlito"/>
          <w:b/>
        </w:rPr>
        <w:t xml:space="preserve">6. </w:t>
      </w:r>
      <w:r>
        <w:rPr>
          <w:rFonts w:ascii="Carlito" w:hAnsi="Carlito"/>
        </w:rPr>
        <w:t>какие внешние факторы повлияли на причинную связь;</w:t>
      </w:r>
    </w:p>
    <w:p>
      <w:pPr>
        <w:widowControl/>
        <w:ind w:left="369" w:hanging="369"/>
      </w:pPr>
      <w:r>
        <w:rPr>
          <w:rFonts w:ascii="Carlito" w:hAnsi="Carlito"/>
          <w:b/>
        </w:rPr>
        <w:t xml:space="preserve">7. </w:t>
      </w:r>
      <w:r>
        <w:rPr>
          <w:rFonts w:ascii="Carlito" w:hAnsi="Carlito"/>
        </w:rPr>
        <w:t>возникли ли непреднамеренные последствия, требующие остановки или коррекции;</w:t>
      </w:r>
    </w:p>
    <w:p>
      <w:pPr>
        <w:widowControl/>
        <w:ind w:left="369" w:hanging="369"/>
      </w:pPr>
      <w:r>
        <w:rPr>
          <w:rFonts w:ascii="Carlito" w:hAnsi="Carlito"/>
          <w:b/>
        </w:rPr>
        <w:t xml:space="preserve">8. </w:t>
      </w:r>
      <w:r>
        <w:rPr>
          <w:rFonts w:ascii="Carlito" w:hAnsi="Carlito"/>
        </w:rPr>
        <w:t>сохраняет ли актуальный план смысл принятой позиции либо фактически заменил её другой.</w:t>
      </w:r>
    </w:p>
    <w:p>
      <w:pPr>
        <w:pStyle w:val="Heading2"/>
        <w:keepNext/>
        <w:widowControl/>
      </w:pPr>
      <w:r>
        <w:rPr>
          <w:rFonts w:ascii="Carlito" w:hAnsi="Carlito"/>
        </w:rPr>
        <w:t>8. Причинность и распределение ответственности</w:t>
      </w:r>
    </w:p>
    <w:p>
      <w:pPr>
        <w:widowControl/>
      </w:pPr>
      <w:r>
        <w:rPr>
          <w:rFonts w:ascii="Carlito" w:hAnsi="Carlito"/>
          <w:i w:val="0"/>
        </w:rPr>
        <w:t>Оценка не приписывает одному лицу результат сложной системы. Она отдельно описывает вклад ведущего субъекта, соисполнителей, парламента, регионов, независимых органов, подрядчиков и внешней среды.</w:t>
      </w:r>
    </w:p>
    <w:p>
      <w:pPr>
        <w:widowControl/>
      </w:pPr>
      <w:r>
        <w:rPr>
          <w:rFonts w:ascii="Carlito" w:hAnsi="Carlito"/>
          <w:i w:val="0"/>
        </w:rPr>
        <w:t>При недостатке доказательств используется диапазон выводов. Формулировки «привело», «способствовало», «не доказано», «противоречит данным» и «не может быть установлено» применяются различно и не заменяют друг друга.</w:t>
      </w:r>
    </w:p>
    <w:p>
      <w:pPr>
        <w:pStyle w:val="Heading2"/>
        <w:keepNext/>
        <w:widowControl/>
      </w:pPr>
      <w:r>
        <w:rPr>
          <w:rFonts w:ascii="Carlito" w:hAnsi="Carlito"/>
        </w:rPr>
        <w:t>9. Многомерная форма вывода</w:t>
      </w:r>
    </w:p>
    <w:p>
      <w:pPr>
        <w:widowControl/>
      </w:pPr>
      <w:r>
        <w:rPr>
          <w:rFonts w:ascii="Carlito" w:hAnsi="Carlito"/>
          <w:i w:val="0"/>
        </w:rPr>
        <w:t>Итоговая карточка не содержит единого процента. Она раздельно показывает: состояние собственных действий; критический путь; данные и их качество; промежуточные продукты; общественный эффект; права и распределение последствий; стоимость; внешние факторы; необходимость коррекции.</w:t>
      </w:r>
    </w:p>
    <w:p>
      <w:pPr>
        <w:widowControl/>
      </w:pPr>
      <w:r>
        <w:rPr>
          <w:rFonts w:ascii="Carlito" w:hAnsi="Carlito"/>
          <w:i w:val="0"/>
        </w:rPr>
        <w:t>Краткая визуализация не должна использовать цвета, порядок или иконки как скрытый официальный рейтинг политической пригодности.</w:t>
      </w:r>
    </w:p>
    <w:p>
      <w:pPr>
        <w:pStyle w:val="Heading2"/>
        <w:keepNext/>
        <w:widowControl/>
      </w:pPr>
      <w:r>
        <w:rPr>
          <w:rFonts w:ascii="Carlito" w:hAnsi="Carlito"/>
        </w:rPr>
        <w:t>10. Право оцениваемых субъектов на ответ</w:t>
      </w:r>
    </w:p>
    <w:p>
      <w:pPr>
        <w:widowControl/>
      </w:pPr>
      <w:r>
        <w:rPr>
          <w:rFonts w:ascii="Carlito" w:hAnsi="Carlito"/>
          <w:i w:val="0"/>
        </w:rPr>
        <w:t>До публикации им предоставляется проект фактической части и разумный срок для замечаний. Они вправе представить данные, оспорить причинность и приложить собственное объяснение. Право на ответ не даёт возможности задерживать публикацию, удалять критический вывод или изменять особое мнение эксперта.</w:t>
      </w:r>
    </w:p>
    <w:p>
      <w:pPr>
        <w:widowControl/>
      </w:pPr>
      <w:r>
        <w:rPr>
          <w:rFonts w:ascii="Carlito" w:hAnsi="Carlito"/>
          <w:i w:val="0"/>
        </w:rPr>
        <w:t>Итоговый отчёт показывает, какие замечания приняты, отклонены или остались спорными.</w:t>
      </w:r>
    </w:p>
    <w:p>
      <w:pPr>
        <w:pStyle w:val="Heading2"/>
        <w:keepNext/>
        <w:widowControl/>
      </w:pPr>
      <w:r>
        <w:rPr>
          <w:rFonts w:ascii="Carlito" w:hAnsi="Carlito"/>
        </w:rPr>
        <w:t>11. Особые мнения и альтернативные модели</w:t>
      </w:r>
    </w:p>
    <w:p>
      <w:pPr>
        <w:widowControl/>
      </w:pPr>
      <w:r>
        <w:rPr>
          <w:rFonts w:ascii="Carlito" w:hAnsi="Carlito"/>
          <w:i w:val="0"/>
        </w:rPr>
        <w:t>При существенном методологическом разногласии особое мнение публикуется одновременно и в сопоставимом формате. Нельзя превращать голосование членов консорциума в способ скрыть обоснованную неопределённость за формальным большинством.</w:t>
      </w:r>
    </w:p>
    <w:p>
      <w:pPr>
        <w:widowControl/>
      </w:pPr>
      <w:r>
        <w:rPr>
          <w:rFonts w:ascii="Carlito" w:hAnsi="Carlito"/>
          <w:i w:val="0"/>
        </w:rPr>
        <w:t>Допускается публикация независимых внешних репликаций. Официальный отчёт имеет статус гарантированно доступного документа, но не монополии на политическую истину.</w:t>
      </w:r>
    </w:p>
    <w:p>
      <w:pPr>
        <w:pStyle w:val="Heading2"/>
        <w:keepNext/>
        <w:widowControl/>
      </w:pPr>
      <w:r>
        <w:rPr>
          <w:rFonts w:ascii="Carlito" w:hAnsi="Carlito"/>
        </w:rPr>
        <w:t>12. Публичное и парламентское рассмотрение</w:t>
      </w:r>
    </w:p>
    <w:p>
      <w:pPr>
        <w:widowControl/>
      </w:pPr>
      <w:r>
        <w:rPr>
          <w:rFonts w:ascii="Carlito" w:hAnsi="Carlito"/>
          <w:i w:val="0"/>
        </w:rPr>
        <w:t>Отчёт рассматривается на открытом заседании компетентного представительного органа либо ином публичном форуме, предусмотренном национальной адаптацией. Цель — потребовать ответа и определить дальнейшие действия, а не связать голос депутата заранее заданным выводом.</w:t>
      </w:r>
    </w:p>
    <w:p>
      <w:pPr>
        <w:widowControl/>
      </w:pPr>
      <w:r>
        <w:rPr>
          <w:rFonts w:ascii="Carlito" w:hAnsi="Carlito"/>
          <w:i w:val="0"/>
        </w:rPr>
        <w:t>Избранная власть публикует реакцию: согласие, частичное согласие, несогласие или решение изменить курс. Каждая позиция сопровождается фактами и планом дальнейших действий.</w:t>
      </w:r>
    </w:p>
    <w:p>
      <w:pPr>
        <w:pStyle w:val="Heading2"/>
        <w:keepNext/>
        <w:widowControl/>
      </w:pPr>
      <w:r>
        <w:rPr>
          <w:rFonts w:ascii="Carlito" w:hAnsi="Carlito"/>
        </w:rPr>
        <w:t>13. Корректирующий план</w:t>
      </w:r>
    </w:p>
    <w:p>
      <w:pPr>
        <w:widowControl/>
      </w:pPr>
      <w:r>
        <w:rPr>
          <w:rFonts w:ascii="Carlito" w:hAnsi="Carlito"/>
          <w:i w:val="0"/>
        </w:rPr>
        <w:t>Если выявлено существенное отклонение, ответственный субъект публикует корректирующий план либо начинает процедуру главы XXVII. Корректирующий план указывает причину, изменяемые этапы, новые риски, последствия для срока и бюджета, а также сохранённый смысл принятой позиции.</w:t>
      </w:r>
    </w:p>
    <w:p>
      <w:pPr>
        <w:widowControl/>
      </w:pPr>
      <w:r>
        <w:rPr>
          <w:rFonts w:ascii="Carlito" w:hAnsi="Carlito"/>
          <w:i w:val="0"/>
        </w:rPr>
        <w:t>Отказ корректировать курс допустим как политическое решение, но требует мотивированного ответа. Сам консорциум не выдаёт разрешение на продолжение или остановку.</w:t>
      </w:r>
    </w:p>
    <w:p>
      <w:pPr>
        <w:pStyle w:val="Heading2"/>
        <w:keepNext/>
        <w:widowControl/>
      </w:pPr>
      <w:r>
        <w:rPr>
          <w:rFonts w:ascii="Carlito" w:hAnsi="Carlito"/>
        </w:rPr>
        <w:t>14. Судебный контроль</w:t>
      </w:r>
    </w:p>
    <w:p>
      <w:pPr>
        <w:widowControl/>
      </w:pPr>
      <w:r>
        <w:rPr>
          <w:rFonts w:ascii="Carlito" w:hAnsi="Carlito"/>
          <w:i w:val="0"/>
        </w:rPr>
        <w:t>Суд может проверять компетенцию, состав, конфликт интересов, соблюдение процедуры, доступ к данным, фактическую ошибку, дискриминацию и нарушение прав. Суд не устанавливает единственно правильный политический показатель, не присваивает процент исполнения и не приказывает продолжать конкретную экономическую стратегию.</w:t>
      </w:r>
    </w:p>
    <w:p>
      <w:pPr>
        <w:pStyle w:val="Heading2"/>
        <w:keepNext/>
        <w:widowControl/>
      </w:pPr>
      <w:r>
        <w:rPr>
          <w:rFonts w:ascii="Carlito" w:hAnsi="Carlito"/>
        </w:rPr>
        <w:t>15. Защита от захвата</w:t>
      </w:r>
    </w:p>
    <w:p>
      <w:pPr>
        <w:pStyle w:val="ListBullet"/>
        <w:widowControl/>
      </w:pPr>
      <w:r>
        <w:rPr>
          <w:rFonts w:ascii="Carlito" w:hAnsi="Carlito"/>
        </w:rPr>
        <w:t>раздельное финансирование оператора данных и оценочного консорциума;</w:t>
      </w:r>
    </w:p>
    <w:p>
      <w:pPr>
        <w:pStyle w:val="ListBullet"/>
        <w:widowControl/>
      </w:pPr>
      <w:r>
        <w:rPr>
          <w:rFonts w:ascii="Carlito" w:hAnsi="Carlito"/>
        </w:rPr>
        <w:t>публичный журнал контактов и представленных материалов крупных заинтересованных субъектов;</w:t>
      </w:r>
    </w:p>
    <w:p>
      <w:pPr>
        <w:pStyle w:val="ListBullet"/>
        <w:widowControl/>
      </w:pPr>
      <w:r>
        <w:rPr>
          <w:rFonts w:ascii="Carlito" w:hAnsi="Carlito"/>
        </w:rPr>
        <w:t>раскрытие моделей, кода и источников;</w:t>
      </w:r>
    </w:p>
    <w:p>
      <w:pPr>
        <w:pStyle w:val="ListBullet"/>
        <w:widowControl/>
      </w:pPr>
      <w:r>
        <w:rPr>
          <w:rFonts w:ascii="Carlito" w:hAnsi="Carlito"/>
        </w:rPr>
        <w:t>случайное распределение рецензентов в пределах квалифицированного пула;</w:t>
      </w:r>
    </w:p>
    <w:p>
      <w:pPr>
        <w:pStyle w:val="ListBullet"/>
        <w:widowControl/>
      </w:pPr>
      <w:r>
        <w:rPr>
          <w:rFonts w:ascii="Carlito" w:hAnsi="Carlito"/>
        </w:rPr>
        <w:t>запрет будущего контракта с оцениваемым субъектом в течение ограниченного срока;</w:t>
      </w:r>
    </w:p>
    <w:p>
      <w:pPr>
        <w:pStyle w:val="ListBullet"/>
        <w:widowControl/>
      </w:pPr>
      <w:r>
        <w:rPr>
          <w:rFonts w:ascii="Carlito" w:hAnsi="Carlito"/>
        </w:rPr>
        <w:t>независимый аудит конфликта интересов и возможность внешней репликации.</w:t>
      </w:r>
    </w:p>
    <w:p>
      <w:pPr>
        <w:pStyle w:val="Heading2"/>
        <w:keepNext/>
        <w:widowControl/>
      </w:pPr>
      <w:r>
        <w:rPr>
          <w:rFonts w:ascii="Carlito" w:hAnsi="Carlito"/>
        </w:rPr>
        <w:t>16. Специальные и чрезвычайные случаи</w:t>
      </w:r>
    </w:p>
    <w:p>
      <w:pPr>
        <w:widowControl/>
      </w:pPr>
      <w:r>
        <w:rPr>
          <w:rFonts w:ascii="Carlito" w:hAnsi="Carlito"/>
          <w:i w:val="0"/>
        </w:rPr>
        <w:t>При кризисе оценка может быть сокращена до проверки фактов, прав и чрезвычайных решений. Отсутствие полной причинной модели прямо признаётся. Отчёт не должен задерживать неотложные меры, но последующий контроль обязателен.</w:t>
      </w:r>
    </w:p>
    <w:p>
      <w:pPr>
        <w:widowControl/>
      </w:pPr>
      <w:r>
        <w:rPr>
          <w:rFonts w:ascii="Carlito" w:hAnsi="Carlito"/>
          <w:i w:val="0"/>
        </w:rPr>
        <w:t>Если цифровая инфраструктура или ключевые данные скомпрометированы, оценка приостанавливает выводы, зависящие от них, и отдельно рассматривает достоверность доказательств.</w:t>
      </w:r>
    </w:p>
    <w:p>
      <w:pPr>
        <w:pStyle w:val="Heading2"/>
        <w:keepNext/>
        <w:widowControl/>
      </w:pPr>
      <w:r>
        <w:rPr>
          <w:rFonts w:ascii="Carlito" w:hAnsi="Carlito"/>
        </w:rPr>
        <w:t>17. Ответственность и обжалование</w:t>
      </w:r>
    </w:p>
    <w:p>
      <w:pPr>
        <w:widowControl/>
      </w:pPr>
      <w:r>
        <w:rPr>
          <w:rFonts w:ascii="Carlito" w:hAnsi="Carlito"/>
          <w:i w:val="0"/>
        </w:rPr>
        <w:t>Члены консорциума отвечают за сокрытие конфликта, фальсификацию, неправомерное раскрытие данных и грубую небрежность по обычным нормам. Они не несут ответственности за добросовестный прогноз или научно обоснованное меньшинство мнений.</w:t>
      </w:r>
    </w:p>
    <w:p>
      <w:pPr>
        <w:widowControl/>
      </w:pPr>
      <w:r>
        <w:rPr>
          <w:rFonts w:ascii="Carlito" w:hAnsi="Carlito"/>
          <w:i w:val="0"/>
        </w:rPr>
        <w:t>Фактические ошибки исправляются ускоренно. Политический вывод оспаривается правом на ответ, публичной дискуссией и альтернативным исследованием, а не административным запретом.</w:t>
      </w:r>
    </w:p>
    <w:p>
      <w:pPr>
        <w:pStyle w:val="Heading2"/>
        <w:keepNext/>
        <w:widowControl/>
      </w:pPr>
      <w:r>
        <w:rPr>
          <w:rFonts w:ascii="Carlito" w:hAnsi="Carlito"/>
        </w:rPr>
        <w:t>18. Сильнейшие возражения и встроенные ответы</w:t>
      </w:r>
    </w:p>
    <w:p>
      <w:pPr>
        <w:widowControl/>
      </w:pPr>
      <w:r>
        <w:rPr>
          <w:rFonts w:ascii="Carlito" w:hAnsi="Carlito"/>
          <w:i w:val="0"/>
        </w:rPr>
        <w:t>Опасность квазисуда устраняется отсутствием автоматических последствий и общего балла. Риск методологического захвата ограничивается предварительной регистрацией, открытыми моделями и особыми мнениями. Управленческая перегрузка снижается одной глубокой оценкой и риск-ориентированной выборкой. Право изменить курс сохраняется у компетентной власти.</w:t>
      </w:r>
    </w:p>
    <w:p>
      <w:pPr>
        <w:pStyle w:val="Heading2"/>
        <w:keepNext/>
        <w:widowControl/>
      </w:pPr>
      <w:r>
        <w:rPr>
          <w:rFonts w:ascii="Carlito" w:hAnsi="Carlito"/>
        </w:rPr>
        <w:t>19. Связь с другими главами и вывод</w:t>
      </w:r>
    </w:p>
    <w:p>
      <w:pPr>
        <w:widowControl/>
      </w:pPr>
      <w:r>
        <w:rPr>
          <w:rFonts w:ascii="Carlito" w:hAnsi="Carlito"/>
          <w:i w:val="0"/>
        </w:rPr>
        <w:t>Глава опирается на план и данные глав XXIV–XXV, может инициировать процедуру главы XXVII и формирует доказательную основу итоговой оценки главы XXVIII. Она не создаёт последствий главы XXIX самостоятельно.</w:t>
      </w:r>
    </w:p>
    <w:p>
      <w:pPr>
        <w:pStyle w:val="DoctrineQuote"/>
        <w:widowControl/>
      </w:pPr>
      <w:r>
        <w:rPr>
          <w:rFonts w:ascii="Carlito" w:hAnsi="Carlito"/>
          <w:i w:val="0"/>
        </w:rPr>
        <w:t>Промежуточная оценка должна помогать государству исправить ошибку раньше, чем она станет необратимой, но не должна становиться неизбранным центром политического управления.</w:t>
      </w:r>
    </w:p>
    <w:p>
      <w:pPr>
        <w:widowControl/>
      </w:pPr>
      <w:r>
        <w:rPr>
          <w:rFonts w:ascii="Carlito" w:hAnsi="Carlito"/>
        </w:rPr>
        <w:br w:type="page"/>
      </w:r>
    </w:p>
    <w:p>
      <w:pPr>
        <w:pStyle w:val="Heading1"/>
        <w:keepNext/>
        <w:pageBreakBefore/>
        <w:spacing w:before="0" w:after="160"/>
        <w:widowControl/>
        <w:pBdr>
          <w:bottom w:val="single" w:sz="5" w:space="4" w:color="B4C6E7"/>
        </w:pBdr>
      </w:pPr>
      <w:r>
        <w:rPr>
          <w:rFonts w:ascii="Carlito" w:hAnsi="Carlito"/>
        </w:rPr>
        <w:t>Глава XXVII. Пересмотр, приостановление, замена и прекращение принятых положений</w:t>
      </w:r>
    </w:p>
    <w:p>
      <w:pPr>
        <w:pStyle w:val="Heading2"/>
        <w:keepNext/>
        <w:widowControl/>
      </w:pPr>
      <w:r>
        <w:rPr>
          <w:rFonts w:ascii="Carlito" w:hAnsi="Carlito"/>
        </w:rPr>
        <w:t>1. Предмет и цель главы</w:t>
      </w:r>
    </w:p>
    <w:p>
      <w:pPr>
        <w:widowControl/>
      </w:pPr>
      <w:r>
        <w:rPr>
          <w:rFonts w:ascii="Carlito" w:hAnsi="Carlito"/>
          <w:i w:val="0"/>
        </w:rPr>
        <w:t>Настоящая глава устанавливает, как избранная власть может законно и публично изменить способ, план или принятую позицию при появлении новых обстоятельств. Адаптивность является условием ответственного управления, а не лазейкой для скрытого отказа.</w:t>
      </w:r>
    </w:p>
    <w:p>
      <w:pPr>
        <w:pStyle w:val="DoctrineQuote"/>
        <w:widowControl/>
      </w:pPr>
      <w:r>
        <w:rPr>
          <w:rFonts w:ascii="Carlito" w:hAnsi="Carlito"/>
          <w:i w:val="0"/>
        </w:rPr>
        <w:t>Власть имеет право изменить курс в пределах своей компетенции. Обязанность Доктрины состоит не в запрете такого решения, а в том, чтобы изменение было названо своим именем, доказательно объяснено, прослеживаемо и открыто политической оценке.</w:t>
      </w:r>
    </w:p>
    <w:p>
      <w:pPr>
        <w:pStyle w:val="Heading2"/>
        <w:keepNext/>
        <w:widowControl/>
      </w:pPr>
      <w:r>
        <w:rPr>
          <w:rFonts w:ascii="Carlito" w:hAnsi="Carlito"/>
        </w:rPr>
        <w:t>2. Состояния положения</w:t>
      </w:r>
    </w:p>
    <w:p>
      <w:pPr>
        <w:widowControl/>
        <w:ind w:left="369" w:hanging="369"/>
      </w:pPr>
      <w:r>
        <w:rPr>
          <w:rFonts w:ascii="Carlito" w:hAnsi="Carlito"/>
          <w:b/>
        </w:rPr>
        <w:t xml:space="preserve">1. </w:t>
      </w:r>
      <w:r>
        <w:rPr>
          <w:rFonts w:ascii="Carlito" w:hAnsi="Carlito"/>
        </w:rPr>
        <w:t>уточнение плана без изменения цели и существенного охвата;</w:t>
      </w:r>
    </w:p>
    <w:p>
      <w:pPr>
        <w:widowControl/>
        <w:ind w:left="369" w:hanging="369"/>
      </w:pPr>
      <w:r>
        <w:rPr>
          <w:rFonts w:ascii="Carlito" w:hAnsi="Carlito"/>
          <w:b/>
        </w:rPr>
        <w:t xml:space="preserve">2. </w:t>
      </w:r>
      <w:r>
        <w:rPr>
          <w:rFonts w:ascii="Carlito" w:hAnsi="Carlito"/>
        </w:rPr>
        <w:t>корректировка способа при сохранении принятой позиции;</w:t>
      </w:r>
    </w:p>
    <w:p>
      <w:pPr>
        <w:widowControl/>
        <w:ind w:left="369" w:hanging="369"/>
      </w:pPr>
      <w:r>
        <w:rPr>
          <w:rFonts w:ascii="Carlito" w:hAnsi="Carlito"/>
          <w:b/>
        </w:rPr>
        <w:t xml:space="preserve">3. </w:t>
      </w:r>
      <w:r>
        <w:rPr>
          <w:rFonts w:ascii="Carlito" w:hAnsi="Carlito"/>
        </w:rPr>
        <w:t>существенное изменение позиции;</w:t>
      </w:r>
    </w:p>
    <w:p>
      <w:pPr>
        <w:widowControl/>
        <w:ind w:left="369" w:hanging="369"/>
      </w:pPr>
      <w:r>
        <w:rPr>
          <w:rFonts w:ascii="Carlito" w:hAnsi="Carlito"/>
          <w:b/>
        </w:rPr>
        <w:t xml:space="preserve">4. </w:t>
      </w:r>
      <w:r>
        <w:rPr>
          <w:rFonts w:ascii="Carlito" w:hAnsi="Carlito"/>
        </w:rPr>
        <w:t>замена на сопоставимую альтернативу;</w:t>
      </w:r>
    </w:p>
    <w:p>
      <w:pPr>
        <w:widowControl/>
        <w:ind w:left="369" w:hanging="369"/>
      </w:pPr>
      <w:r>
        <w:rPr>
          <w:rFonts w:ascii="Carlito" w:hAnsi="Carlito"/>
          <w:b/>
        </w:rPr>
        <w:t xml:space="preserve">5. </w:t>
      </w:r>
      <w:r>
        <w:rPr>
          <w:rFonts w:ascii="Carlito" w:hAnsi="Carlito"/>
        </w:rPr>
        <w:t>временное приостановление;</w:t>
      </w:r>
    </w:p>
    <w:p>
      <w:pPr>
        <w:widowControl/>
        <w:ind w:left="369" w:hanging="369"/>
      </w:pPr>
      <w:r>
        <w:rPr>
          <w:rFonts w:ascii="Carlito" w:hAnsi="Carlito"/>
          <w:b/>
        </w:rPr>
        <w:t xml:space="preserve">6. </w:t>
      </w:r>
      <w:r>
        <w:rPr>
          <w:rFonts w:ascii="Carlito" w:hAnsi="Carlito"/>
        </w:rPr>
        <w:t>частичное прекращение;</w:t>
      </w:r>
    </w:p>
    <w:p>
      <w:pPr>
        <w:widowControl/>
        <w:ind w:left="369" w:hanging="369"/>
      </w:pPr>
      <w:r>
        <w:rPr>
          <w:rFonts w:ascii="Carlito" w:hAnsi="Carlito"/>
          <w:b/>
        </w:rPr>
        <w:t xml:space="preserve">7. </w:t>
      </w:r>
      <w:r>
        <w:rPr>
          <w:rFonts w:ascii="Carlito" w:hAnsi="Carlito"/>
        </w:rPr>
        <w:t>полное прекращение;</w:t>
      </w:r>
    </w:p>
    <w:p>
      <w:pPr>
        <w:widowControl/>
        <w:ind w:left="369" w:hanging="369"/>
      </w:pPr>
      <w:r>
        <w:rPr>
          <w:rFonts w:ascii="Carlito" w:hAnsi="Carlito"/>
          <w:b/>
        </w:rPr>
        <w:t xml:space="preserve">8. </w:t>
      </w:r>
      <w:r>
        <w:rPr>
          <w:rFonts w:ascii="Carlito" w:hAnsi="Carlito"/>
        </w:rPr>
        <w:t>утрата предмета вследствие достижения цели, изменения права или исчезновения компетенции.</w:t>
      </w:r>
    </w:p>
    <w:p>
      <w:pPr>
        <w:widowControl/>
      </w:pPr>
      <w:r>
        <w:rPr>
          <w:rFonts w:ascii="Carlito" w:hAnsi="Carlito"/>
          <w:i w:val="0"/>
        </w:rPr>
        <w:t>Каждое состояние имеет отдельную маркировку. Нельзя оформлять существенный отказ как техническое обновление плана.</w:t>
      </w:r>
    </w:p>
    <w:p>
      <w:pPr>
        <w:pStyle w:val="Heading2"/>
        <w:keepNext/>
        <w:widowControl/>
      </w:pPr>
      <w:r>
        <w:rPr>
          <w:rFonts w:ascii="Carlito" w:hAnsi="Carlito"/>
        </w:rPr>
        <w:t>3. Допустимые основания</w:t>
      </w:r>
    </w:p>
    <w:p>
      <w:pPr>
        <w:pStyle w:val="ListBullet"/>
        <w:widowControl/>
      </w:pPr>
      <w:r>
        <w:rPr>
          <w:rFonts w:ascii="Carlito" w:hAnsi="Carlito"/>
        </w:rPr>
        <w:t>изменение конституции, закона, обязательного судебного решения или международного обязательства;</w:t>
      </w:r>
    </w:p>
    <w:p>
      <w:pPr>
        <w:pStyle w:val="ListBullet"/>
        <w:widowControl/>
      </w:pPr>
      <w:r>
        <w:rPr>
          <w:rFonts w:ascii="Carlito" w:hAnsi="Carlito"/>
        </w:rPr>
        <w:t>выявленный конфликт с неотчуждаемыми правами либо несоразмерный ущерб правам;</w:t>
      </w:r>
    </w:p>
    <w:p>
      <w:pPr>
        <w:pStyle w:val="ListBullet"/>
        <w:widowControl/>
      </w:pPr>
      <w:r>
        <w:rPr>
          <w:rFonts w:ascii="Carlito" w:hAnsi="Carlito"/>
        </w:rPr>
        <w:t>существенная новая информация, которой разумно нельзя было располагать ранее;</w:t>
      </w:r>
    </w:p>
    <w:p>
      <w:pPr>
        <w:pStyle w:val="ListBullet"/>
        <w:widowControl/>
      </w:pPr>
      <w:r>
        <w:rPr>
          <w:rFonts w:ascii="Carlito" w:hAnsi="Carlito"/>
        </w:rPr>
        <w:t>доказанная неэффективность, опасность или невозможность первоначального средства;</w:t>
      </w:r>
    </w:p>
    <w:p>
      <w:pPr>
        <w:pStyle w:val="ListBullet"/>
        <w:widowControl/>
      </w:pPr>
      <w:r>
        <w:rPr>
          <w:rFonts w:ascii="Carlito" w:hAnsi="Carlito"/>
        </w:rPr>
        <w:t>форс-мажор, война, эпидемия, катастрофа, тяжёлый экономический или бюджетный шок;</w:t>
      </w:r>
    </w:p>
    <w:p>
      <w:pPr>
        <w:pStyle w:val="ListBullet"/>
        <w:widowControl/>
      </w:pPr>
      <w:r>
        <w:rPr>
          <w:rFonts w:ascii="Carlito" w:hAnsi="Carlito"/>
        </w:rPr>
        <w:t>утрата либо изменение компетенции вследствие законной институциональной реформы;</w:t>
      </w:r>
    </w:p>
    <w:p>
      <w:pPr>
        <w:pStyle w:val="ListBullet"/>
        <w:widowControl/>
      </w:pPr>
      <w:r>
        <w:rPr>
          <w:rFonts w:ascii="Carlito" w:hAnsi="Carlito"/>
        </w:rPr>
        <w:t>неполучение решения независимого парламента, суда, региона или иного субъекта после совершения всех собственных действий;</w:t>
      </w:r>
    </w:p>
    <w:p>
      <w:pPr>
        <w:pStyle w:val="ListBullet"/>
        <w:widowControl/>
      </w:pPr>
      <w:r>
        <w:rPr>
          <w:rFonts w:ascii="Carlito" w:hAnsi="Carlito"/>
        </w:rPr>
        <w:t>достижение цели иным законным способом;</w:t>
      </w:r>
    </w:p>
    <w:p>
      <w:pPr>
        <w:pStyle w:val="ListBullet"/>
        <w:widowControl/>
      </w:pPr>
      <w:r>
        <w:rPr>
          <w:rFonts w:ascii="Carlito" w:hAnsi="Carlito"/>
        </w:rPr>
        <w:t>открытое политическое решение избранной власти изменить приоритет с принятием публичной ответственности.</w:t>
      </w:r>
    </w:p>
    <w:p>
      <w:pPr>
        <w:pStyle w:val="Heading2"/>
        <w:keepNext/>
        <w:widowControl/>
      </w:pPr>
      <w:r>
        <w:rPr>
          <w:rFonts w:ascii="Carlito" w:hAnsi="Carlito"/>
        </w:rPr>
        <w:t>4. Недостаточные основания</w:t>
      </w:r>
    </w:p>
    <w:p>
      <w:pPr>
        <w:widowControl/>
      </w:pPr>
      <w:r>
        <w:rPr>
          <w:rFonts w:ascii="Carlito" w:hAnsi="Carlito"/>
          <w:i w:val="0"/>
        </w:rPr>
        <w:t>Сами по себе не оправдывают скрытое изменение: административное удобство; падение рейтинга; неопределённая ссылка на консенсус; условие, контролируемое самим исполнителем; искусственно суженный бюджет; реорганизация без правопреемства; самосозданное отсутствие данных; негативное мнение оценщика; повторение прежнего чрезвычайного основания без новых фактов; общее указание на безопасность без конкретной нормы и проверки.</w:t>
      </w:r>
    </w:p>
    <w:p>
      <w:pPr>
        <w:pStyle w:val="Heading2"/>
        <w:keepNext/>
        <w:widowControl/>
      </w:pPr>
      <w:r>
        <w:rPr>
          <w:rFonts w:ascii="Carlito" w:hAnsi="Carlito"/>
        </w:rPr>
        <w:t>5. Изменение способа и изменение позиции</w:t>
      </w:r>
    </w:p>
    <w:p>
      <w:pPr>
        <w:widowControl/>
      </w:pPr>
      <w:r>
        <w:rPr>
          <w:rFonts w:ascii="Carlito" w:hAnsi="Carlito"/>
          <w:i w:val="0"/>
        </w:rPr>
        <w:t>Изменение способа сохраняет общественную цель, основной охват и ожидаемый правовой либо социальный эффект. Изменение позиции затрагивает цель, круг получателей, срок, права, масштаб, распределение издержек или отказ от ранее принятого направления.</w:t>
      </w:r>
    </w:p>
    <w:p>
      <w:pPr>
        <w:widowControl/>
      </w:pPr>
      <w:r>
        <w:rPr>
          <w:rFonts w:ascii="Carlito" w:hAnsi="Carlito"/>
          <w:i w:val="0"/>
        </w:rPr>
        <w:t>При сомнении применяется презумпция публичного признания более существенной категории. Это не запрещает изменение, но предотвращает его сокрытие в технических документах.</w:t>
      </w:r>
    </w:p>
    <w:p>
      <w:pPr>
        <w:pStyle w:val="Heading2"/>
        <w:keepNext/>
        <w:widowControl/>
      </w:pPr>
      <w:r>
        <w:rPr>
          <w:rFonts w:ascii="Carlito" w:hAnsi="Carlito"/>
        </w:rPr>
        <w:t>6. Обычная процедура пересмотра</w:t>
      </w:r>
    </w:p>
    <w:p>
      <w:pPr>
        <w:widowControl/>
        <w:ind w:left="369" w:hanging="369"/>
      </w:pPr>
      <w:r>
        <w:rPr>
          <w:rFonts w:ascii="Carlito" w:hAnsi="Carlito"/>
          <w:b/>
        </w:rPr>
        <w:t xml:space="preserve">1. </w:t>
      </w:r>
      <w:r>
        <w:rPr>
          <w:rFonts w:ascii="Carlito" w:hAnsi="Carlito"/>
        </w:rPr>
        <w:t>публикация уведомления о предлагаемом изменении;</w:t>
      </w:r>
    </w:p>
    <w:p>
      <w:pPr>
        <w:widowControl/>
        <w:ind w:left="369" w:hanging="369"/>
      </w:pPr>
      <w:r>
        <w:rPr>
          <w:rFonts w:ascii="Carlito" w:hAnsi="Carlito"/>
          <w:b/>
        </w:rPr>
        <w:t xml:space="preserve">2. </w:t>
      </w:r>
      <w:r>
        <w:rPr>
          <w:rFonts w:ascii="Carlito" w:hAnsi="Carlito"/>
        </w:rPr>
        <w:t>описание исходной позиции и фактического состояния;</w:t>
      </w:r>
    </w:p>
    <w:p>
      <w:pPr>
        <w:widowControl/>
        <w:ind w:left="369" w:hanging="369"/>
      </w:pPr>
      <w:r>
        <w:rPr>
          <w:rFonts w:ascii="Carlito" w:hAnsi="Carlito"/>
          <w:b/>
        </w:rPr>
        <w:t xml:space="preserve">3. </w:t>
      </w:r>
      <w:r>
        <w:rPr>
          <w:rFonts w:ascii="Carlito" w:hAnsi="Carlito"/>
        </w:rPr>
        <w:t>указание правового основания, новых данных и внешних зависимостей;</w:t>
      </w:r>
    </w:p>
    <w:p>
      <w:pPr>
        <w:widowControl/>
        <w:ind w:left="369" w:hanging="369"/>
      </w:pPr>
      <w:r>
        <w:rPr>
          <w:rFonts w:ascii="Carlito" w:hAnsi="Carlito"/>
          <w:b/>
        </w:rPr>
        <w:t xml:space="preserve">4. </w:t>
      </w:r>
      <w:r>
        <w:rPr>
          <w:rFonts w:ascii="Carlito" w:hAnsi="Carlito"/>
        </w:rPr>
        <w:t>сопоставление первоначального и предлагаемого курса;</w:t>
      </w:r>
    </w:p>
    <w:p>
      <w:pPr>
        <w:widowControl/>
        <w:ind w:left="369" w:hanging="369"/>
      </w:pPr>
      <w:r>
        <w:rPr>
          <w:rFonts w:ascii="Carlito" w:hAnsi="Carlito"/>
          <w:b/>
        </w:rPr>
        <w:t xml:space="preserve">5. </w:t>
      </w:r>
      <w:r>
        <w:rPr>
          <w:rFonts w:ascii="Carlito" w:hAnsi="Carlito"/>
        </w:rPr>
        <w:t>оценка прав, бюджета, территорий, меньшинств и непреднамеренных последствий;</w:t>
      </w:r>
    </w:p>
    <w:p>
      <w:pPr>
        <w:widowControl/>
        <w:ind w:left="369" w:hanging="369"/>
      </w:pPr>
      <w:r>
        <w:rPr>
          <w:rFonts w:ascii="Carlito" w:hAnsi="Carlito"/>
          <w:b/>
        </w:rPr>
        <w:t xml:space="preserve">6. </w:t>
      </w:r>
      <w:r>
        <w:rPr>
          <w:rFonts w:ascii="Carlito" w:hAnsi="Carlito"/>
        </w:rPr>
        <w:t>разумный срок для комментариев и ответ на существенные замечания;</w:t>
      </w:r>
    </w:p>
    <w:p>
      <w:pPr>
        <w:widowControl/>
        <w:ind w:left="369" w:hanging="369"/>
      </w:pPr>
      <w:r>
        <w:rPr>
          <w:rFonts w:ascii="Carlito" w:hAnsi="Carlito"/>
          <w:b/>
        </w:rPr>
        <w:t xml:space="preserve">7. </w:t>
      </w:r>
      <w:r>
        <w:rPr>
          <w:rFonts w:ascii="Carlito" w:hAnsi="Carlito"/>
        </w:rPr>
        <w:t>решение компетентного субъекта с персонально подписанной мотивировкой;</w:t>
      </w:r>
    </w:p>
    <w:p>
      <w:pPr>
        <w:widowControl/>
        <w:ind w:left="369" w:hanging="369"/>
      </w:pPr>
      <w:r>
        <w:rPr>
          <w:rFonts w:ascii="Carlito" w:hAnsi="Carlito"/>
          <w:b/>
        </w:rPr>
        <w:t xml:space="preserve">8. </w:t>
      </w:r>
      <w:r>
        <w:rPr>
          <w:rFonts w:ascii="Carlito" w:hAnsi="Carlito"/>
        </w:rPr>
        <w:t>обновление реестра, плана, показателей и календаря без удаления прежних версий.</w:t>
      </w:r>
    </w:p>
    <w:p>
      <w:pPr>
        <w:pStyle w:val="Heading2"/>
        <w:keepNext/>
        <w:widowControl/>
      </w:pPr>
      <w:r>
        <w:rPr>
          <w:rFonts w:ascii="Carlito" w:hAnsi="Carlito"/>
        </w:rPr>
        <w:t>7. Сопоставительная карточка</w:t>
      </w:r>
    </w:p>
    <w:tbl>
      <w:tblPr>
        <w:tblStyle w:val="TableGrid"/>
        <w:tblW w:type="auto" w:w="0"/>
        <w:jc w:val="center"/>
        <w:tblLook w:firstColumn="1" w:firstRow="1" w:lastColumn="0" w:lastRow="0" w:noHBand="0" w:noVBand="1" w:val="04A0"/>
      </w:tblPr>
      <w:tblGrid>
        <w:gridCol w:w="2416"/>
        <w:gridCol w:w="2416"/>
        <w:gridCol w:w="2416"/>
        <w:gridCol w:w="2416"/>
      </w:tblGrid>
      <w:tr>
        <w:trPr>
          <w:tblHeader w:val="true"/>
          <w:cantSplit/>
          <w:tblHeader w:val="true"/>
        </w:trPr>
        <w:tc>
          <w:tcPr>
            <w:tcW w:type="dxa" w:w="1814"/>
            <w:vAlign w:val="center"/>
            <w:shd w:fill="17365D"/>
          </w:tcPr>
          <w:p>
            <w:pPr>
              <w:spacing w:after="40" w:line="240" w:lineRule="auto"/>
            </w:pPr>
            <w:r>
              <w:rPr>
                <w:rFonts w:ascii="Carlito" w:hAnsi="Carlito"/>
                <w:b/>
                <w:color w:val="FFFFFF"/>
                <w:sz w:val="15"/>
              </w:rPr>
              <w:t>Элемент</w:t>
            </w:r>
          </w:p>
        </w:tc>
        <w:tc>
          <w:tcPr>
            <w:tcW w:type="dxa" w:w="2551"/>
            <w:vAlign w:val="center"/>
            <w:shd w:fill="17365D"/>
          </w:tcPr>
          <w:p>
            <w:pPr>
              <w:spacing w:after="40" w:line="240" w:lineRule="auto"/>
            </w:pPr>
            <w:r>
              <w:rPr>
                <w:rFonts w:ascii="Carlito" w:hAnsi="Carlito"/>
                <w:b/>
                <w:color w:val="FFFFFF"/>
                <w:sz w:val="15"/>
              </w:rPr>
              <w:t>Первоначальная позиция</w:t>
            </w:r>
          </w:p>
        </w:tc>
        <w:tc>
          <w:tcPr>
            <w:tcW w:type="dxa" w:w="2721"/>
            <w:vAlign w:val="center"/>
            <w:shd w:fill="17365D"/>
          </w:tcPr>
          <w:p>
            <w:pPr>
              <w:spacing w:after="40" w:line="240" w:lineRule="auto"/>
            </w:pPr>
            <w:r>
              <w:rPr>
                <w:rFonts w:ascii="Carlito" w:hAnsi="Carlito"/>
                <w:b/>
                <w:color w:val="FFFFFF"/>
                <w:sz w:val="15"/>
              </w:rPr>
              <w:t>Новая позиция или альтернатива</w:t>
            </w:r>
          </w:p>
        </w:tc>
        <w:tc>
          <w:tcPr>
            <w:tcW w:type="dxa" w:w="3515"/>
            <w:vAlign w:val="center"/>
            <w:shd w:fill="17365D"/>
          </w:tcPr>
          <w:p>
            <w:pPr>
              <w:spacing w:after="40" w:line="240" w:lineRule="auto"/>
            </w:pPr>
            <w:r>
              <w:rPr>
                <w:rFonts w:ascii="Carlito" w:hAnsi="Carlito"/>
                <w:b/>
                <w:color w:val="FFFFFF"/>
                <w:sz w:val="15"/>
              </w:rPr>
              <w:t>Обязательное объяснение</w:t>
            </w:r>
          </w:p>
        </w:tc>
      </w:tr>
      <w:tr>
        <w:trPr>
          <w:cantSplit/>
        </w:trPr>
        <w:tc>
          <w:tcPr>
            <w:tcW w:type="dxa" w:w="1814"/>
            <w:vAlign w:val="center"/>
          </w:tcPr>
          <w:p>
            <w:pPr>
              <w:spacing w:after="40" w:line="240" w:lineRule="auto"/>
            </w:pPr>
            <w:r>
              <w:rPr>
                <w:rFonts w:ascii="Carlito" w:hAnsi="Carlito"/>
                <w:color w:val="000000"/>
                <w:sz w:val="15"/>
              </w:rPr>
              <w:t>Цель</w:t>
            </w:r>
          </w:p>
        </w:tc>
        <w:tc>
          <w:tcPr>
            <w:tcW w:type="dxa" w:w="2551"/>
            <w:vAlign w:val="center"/>
          </w:tcPr>
          <w:p>
            <w:pPr>
              <w:spacing w:after="40" w:line="240" w:lineRule="auto"/>
            </w:pPr>
            <w:r>
              <w:rPr>
                <w:rFonts w:ascii="Carlito" w:hAnsi="Carlito"/>
                <w:color w:val="000000"/>
                <w:sz w:val="15"/>
              </w:rPr>
              <w:t>исходная общественная проблема</w:t>
            </w:r>
          </w:p>
        </w:tc>
        <w:tc>
          <w:tcPr>
            <w:tcW w:type="dxa" w:w="2721"/>
            <w:vAlign w:val="center"/>
          </w:tcPr>
          <w:p>
            <w:pPr>
              <w:spacing w:after="40" w:line="240" w:lineRule="auto"/>
            </w:pPr>
            <w:r>
              <w:rPr>
                <w:rFonts w:ascii="Carlito" w:hAnsi="Carlito"/>
                <w:color w:val="000000"/>
                <w:sz w:val="15"/>
              </w:rPr>
              <w:t>сохраняется, сужается или заменяется</w:t>
            </w:r>
          </w:p>
        </w:tc>
        <w:tc>
          <w:tcPr>
            <w:tcW w:type="dxa" w:w="3515"/>
            <w:vAlign w:val="center"/>
          </w:tcPr>
          <w:p>
            <w:pPr>
              <w:spacing w:after="40" w:line="240" w:lineRule="auto"/>
            </w:pPr>
            <w:r>
              <w:rPr>
                <w:rFonts w:ascii="Carlito" w:hAnsi="Carlito"/>
                <w:color w:val="000000"/>
                <w:sz w:val="15"/>
              </w:rPr>
              <w:t>почему изменение необходимо</w:t>
            </w:r>
          </w:p>
        </w:tc>
      </w:tr>
      <w:tr>
        <w:trPr>
          <w:cantSplit/>
        </w:trPr>
        <w:tc>
          <w:tcPr>
            <w:tcW w:type="dxa" w:w="1814"/>
            <w:vAlign w:val="center"/>
            <w:shd w:fill="F2F4F6"/>
          </w:tcPr>
          <w:p>
            <w:pPr>
              <w:spacing w:after="40" w:line="240" w:lineRule="auto"/>
            </w:pPr>
            <w:r>
              <w:rPr>
                <w:rFonts w:ascii="Carlito" w:hAnsi="Carlito"/>
                <w:color w:val="000000"/>
                <w:sz w:val="15"/>
              </w:rPr>
              <w:t>Охват</w:t>
            </w:r>
          </w:p>
        </w:tc>
        <w:tc>
          <w:tcPr>
            <w:tcW w:type="dxa" w:w="2551"/>
            <w:vAlign w:val="center"/>
            <w:shd w:fill="F2F4F6"/>
          </w:tcPr>
          <w:p>
            <w:pPr>
              <w:spacing w:after="40" w:line="240" w:lineRule="auto"/>
            </w:pPr>
            <w:r>
              <w:rPr>
                <w:rFonts w:ascii="Carlito" w:hAnsi="Carlito"/>
                <w:color w:val="000000"/>
                <w:sz w:val="15"/>
              </w:rPr>
              <w:t>группы и территории</w:t>
            </w:r>
          </w:p>
        </w:tc>
        <w:tc>
          <w:tcPr>
            <w:tcW w:type="dxa" w:w="2721"/>
            <w:vAlign w:val="center"/>
            <w:shd w:fill="F2F4F6"/>
          </w:tcPr>
          <w:p>
            <w:pPr>
              <w:spacing w:after="40" w:line="240" w:lineRule="auto"/>
            </w:pPr>
            <w:r>
              <w:rPr>
                <w:rFonts w:ascii="Carlito" w:hAnsi="Carlito"/>
                <w:color w:val="000000"/>
                <w:sz w:val="15"/>
              </w:rPr>
              <w:t>новый охват</w:t>
            </w:r>
          </w:p>
        </w:tc>
        <w:tc>
          <w:tcPr>
            <w:tcW w:type="dxa" w:w="3515"/>
            <w:vAlign w:val="center"/>
            <w:shd w:fill="F2F4F6"/>
          </w:tcPr>
          <w:p>
            <w:pPr>
              <w:spacing w:after="40" w:line="240" w:lineRule="auto"/>
            </w:pPr>
            <w:r>
              <w:rPr>
                <w:rFonts w:ascii="Carlito" w:hAnsi="Carlito"/>
                <w:color w:val="000000"/>
                <w:sz w:val="15"/>
              </w:rPr>
              <w:t>кто теряет или приобретает защиту</w:t>
            </w:r>
          </w:p>
        </w:tc>
      </w:tr>
      <w:tr>
        <w:trPr>
          <w:cantSplit/>
        </w:trPr>
        <w:tc>
          <w:tcPr>
            <w:tcW w:type="dxa" w:w="1814"/>
            <w:vAlign w:val="center"/>
          </w:tcPr>
          <w:p>
            <w:pPr>
              <w:spacing w:after="40" w:line="240" w:lineRule="auto"/>
            </w:pPr>
            <w:r>
              <w:rPr>
                <w:rFonts w:ascii="Carlito" w:hAnsi="Carlito"/>
                <w:color w:val="000000"/>
                <w:sz w:val="15"/>
              </w:rPr>
              <w:t>Срок</w:t>
            </w:r>
          </w:p>
        </w:tc>
        <w:tc>
          <w:tcPr>
            <w:tcW w:type="dxa" w:w="2551"/>
            <w:vAlign w:val="center"/>
          </w:tcPr>
          <w:p>
            <w:pPr>
              <w:spacing w:after="40" w:line="240" w:lineRule="auto"/>
            </w:pPr>
            <w:r>
              <w:rPr>
                <w:rFonts w:ascii="Carlito" w:hAnsi="Carlito"/>
                <w:color w:val="000000"/>
                <w:sz w:val="15"/>
              </w:rPr>
              <w:t>обещанный горизонт</w:t>
            </w:r>
          </w:p>
        </w:tc>
        <w:tc>
          <w:tcPr>
            <w:tcW w:type="dxa" w:w="2721"/>
            <w:vAlign w:val="center"/>
          </w:tcPr>
          <w:p>
            <w:pPr>
              <w:spacing w:after="40" w:line="240" w:lineRule="auto"/>
            </w:pPr>
            <w:r>
              <w:rPr>
                <w:rFonts w:ascii="Carlito" w:hAnsi="Carlito"/>
                <w:color w:val="000000"/>
                <w:sz w:val="15"/>
              </w:rPr>
              <w:t>новая дата или этапность</w:t>
            </w:r>
          </w:p>
        </w:tc>
        <w:tc>
          <w:tcPr>
            <w:tcW w:type="dxa" w:w="3515"/>
            <w:vAlign w:val="center"/>
          </w:tcPr>
          <w:p>
            <w:pPr>
              <w:spacing w:after="40" w:line="240" w:lineRule="auto"/>
            </w:pPr>
            <w:r>
              <w:rPr>
                <w:rFonts w:ascii="Carlito" w:hAnsi="Carlito"/>
                <w:color w:val="000000"/>
                <w:sz w:val="15"/>
              </w:rPr>
              <w:t>причины и критический путь</w:t>
            </w:r>
          </w:p>
        </w:tc>
      </w:tr>
      <w:tr>
        <w:trPr>
          <w:cantSplit/>
        </w:trPr>
        <w:tc>
          <w:tcPr>
            <w:tcW w:type="dxa" w:w="1814"/>
            <w:vAlign w:val="center"/>
            <w:shd w:fill="F2F4F6"/>
          </w:tcPr>
          <w:p>
            <w:pPr>
              <w:spacing w:after="40" w:line="240" w:lineRule="auto"/>
            </w:pPr>
            <w:r>
              <w:rPr>
                <w:rFonts w:ascii="Carlito" w:hAnsi="Carlito"/>
                <w:color w:val="000000"/>
                <w:sz w:val="15"/>
              </w:rPr>
              <w:t>Правовой эффект</w:t>
            </w:r>
          </w:p>
        </w:tc>
        <w:tc>
          <w:tcPr>
            <w:tcW w:type="dxa" w:w="2551"/>
            <w:vAlign w:val="center"/>
            <w:shd w:fill="F2F4F6"/>
          </w:tcPr>
          <w:p>
            <w:pPr>
              <w:spacing w:after="40" w:line="240" w:lineRule="auto"/>
            </w:pPr>
            <w:r>
              <w:rPr>
                <w:rFonts w:ascii="Carlito" w:hAnsi="Carlito"/>
                <w:color w:val="000000"/>
                <w:sz w:val="15"/>
              </w:rPr>
              <w:t>закон, программа, услуга или действие</w:t>
            </w:r>
          </w:p>
        </w:tc>
        <w:tc>
          <w:tcPr>
            <w:tcW w:type="dxa" w:w="2721"/>
            <w:vAlign w:val="center"/>
            <w:shd w:fill="F2F4F6"/>
          </w:tcPr>
          <w:p>
            <w:pPr>
              <w:spacing w:after="40" w:line="240" w:lineRule="auto"/>
            </w:pPr>
            <w:r>
              <w:rPr>
                <w:rFonts w:ascii="Carlito" w:hAnsi="Carlito"/>
                <w:color w:val="000000"/>
                <w:sz w:val="15"/>
              </w:rPr>
              <w:t>новый механизм</w:t>
            </w:r>
          </w:p>
        </w:tc>
        <w:tc>
          <w:tcPr>
            <w:tcW w:type="dxa" w:w="3515"/>
            <w:vAlign w:val="center"/>
            <w:shd w:fill="F2F4F6"/>
          </w:tcPr>
          <w:p>
            <w:pPr>
              <w:spacing w:after="40" w:line="240" w:lineRule="auto"/>
            </w:pPr>
            <w:r>
              <w:rPr>
                <w:rFonts w:ascii="Carlito" w:hAnsi="Carlito"/>
                <w:color w:val="000000"/>
                <w:sz w:val="15"/>
              </w:rPr>
              <w:t>изменение компетенций и прав</w:t>
            </w:r>
          </w:p>
        </w:tc>
      </w:tr>
      <w:tr>
        <w:trPr>
          <w:cantSplit/>
        </w:trPr>
        <w:tc>
          <w:tcPr>
            <w:tcW w:type="dxa" w:w="1814"/>
            <w:vAlign w:val="center"/>
          </w:tcPr>
          <w:p>
            <w:pPr>
              <w:spacing w:after="40" w:line="240" w:lineRule="auto"/>
            </w:pPr>
            <w:r>
              <w:rPr>
                <w:rFonts w:ascii="Carlito" w:hAnsi="Carlito"/>
                <w:color w:val="000000"/>
                <w:sz w:val="15"/>
              </w:rPr>
              <w:t>Стоимость</w:t>
            </w:r>
          </w:p>
        </w:tc>
        <w:tc>
          <w:tcPr>
            <w:tcW w:type="dxa" w:w="2551"/>
            <w:vAlign w:val="center"/>
          </w:tcPr>
          <w:p>
            <w:pPr>
              <w:spacing w:after="40" w:line="240" w:lineRule="auto"/>
            </w:pPr>
            <w:r>
              <w:rPr>
                <w:rFonts w:ascii="Carlito" w:hAnsi="Carlito"/>
                <w:color w:val="000000"/>
                <w:sz w:val="15"/>
              </w:rPr>
              <w:t>первоначальный диапазон</w:t>
            </w:r>
          </w:p>
        </w:tc>
        <w:tc>
          <w:tcPr>
            <w:tcW w:type="dxa" w:w="2721"/>
            <w:vAlign w:val="center"/>
          </w:tcPr>
          <w:p>
            <w:pPr>
              <w:spacing w:after="40" w:line="240" w:lineRule="auto"/>
            </w:pPr>
            <w:r>
              <w:rPr>
                <w:rFonts w:ascii="Carlito" w:hAnsi="Carlito"/>
                <w:color w:val="000000"/>
                <w:sz w:val="15"/>
              </w:rPr>
              <w:t>новый диапазон и источник</w:t>
            </w:r>
          </w:p>
        </w:tc>
        <w:tc>
          <w:tcPr>
            <w:tcW w:type="dxa" w:w="3515"/>
            <w:vAlign w:val="center"/>
          </w:tcPr>
          <w:p>
            <w:pPr>
              <w:spacing w:after="40" w:line="240" w:lineRule="auto"/>
            </w:pPr>
            <w:r>
              <w:rPr>
                <w:rFonts w:ascii="Carlito" w:hAnsi="Carlito"/>
                <w:color w:val="000000"/>
                <w:sz w:val="15"/>
              </w:rPr>
              <w:t>альтернативная стоимость</w:t>
            </w:r>
          </w:p>
        </w:tc>
      </w:tr>
      <w:tr>
        <w:trPr>
          <w:cantSplit/>
        </w:trPr>
        <w:tc>
          <w:tcPr>
            <w:tcW w:type="dxa" w:w="1814"/>
            <w:vAlign w:val="center"/>
            <w:shd w:fill="F2F4F6"/>
          </w:tcPr>
          <w:p>
            <w:pPr>
              <w:spacing w:after="40" w:line="240" w:lineRule="auto"/>
            </w:pPr>
            <w:r>
              <w:rPr>
                <w:rFonts w:ascii="Carlito" w:hAnsi="Carlito"/>
                <w:color w:val="000000"/>
                <w:sz w:val="15"/>
              </w:rPr>
              <w:t>Результат</w:t>
            </w:r>
          </w:p>
        </w:tc>
        <w:tc>
          <w:tcPr>
            <w:tcW w:type="dxa" w:w="2551"/>
            <w:vAlign w:val="center"/>
            <w:shd w:fill="F2F4F6"/>
          </w:tcPr>
          <w:p>
            <w:pPr>
              <w:spacing w:after="40" w:line="240" w:lineRule="auto"/>
            </w:pPr>
            <w:r>
              <w:rPr>
                <w:rFonts w:ascii="Carlito" w:hAnsi="Carlito"/>
                <w:color w:val="000000"/>
                <w:sz w:val="15"/>
              </w:rPr>
              <w:t>ожидаемый эффект</w:t>
            </w:r>
          </w:p>
        </w:tc>
        <w:tc>
          <w:tcPr>
            <w:tcW w:type="dxa" w:w="2721"/>
            <w:vAlign w:val="center"/>
            <w:shd w:fill="F2F4F6"/>
          </w:tcPr>
          <w:p>
            <w:pPr>
              <w:spacing w:after="40" w:line="240" w:lineRule="auto"/>
            </w:pPr>
            <w:r>
              <w:rPr>
                <w:rFonts w:ascii="Carlito" w:hAnsi="Carlito"/>
                <w:color w:val="000000"/>
                <w:sz w:val="15"/>
              </w:rPr>
              <w:t>ожидаемый эффект альтернативы</w:t>
            </w:r>
          </w:p>
        </w:tc>
        <w:tc>
          <w:tcPr>
            <w:tcW w:type="dxa" w:w="3515"/>
            <w:vAlign w:val="center"/>
            <w:shd w:fill="F2F4F6"/>
          </w:tcPr>
          <w:p>
            <w:pPr>
              <w:spacing w:after="40" w:line="240" w:lineRule="auto"/>
            </w:pPr>
            <w:r>
              <w:rPr>
                <w:rFonts w:ascii="Carlito" w:hAnsi="Carlito"/>
                <w:color w:val="000000"/>
                <w:sz w:val="15"/>
              </w:rPr>
              <w:t>доказательства сопоставимости и неопределённость</w:t>
            </w:r>
          </w:p>
        </w:tc>
      </w:tr>
    </w:tbl>
    <w:p>
      <w:pPr>
        <w:widowControl/>
      </w:pPr>
      <w:r>
        <w:rPr>
          <w:rFonts w:ascii="Carlito" w:hAnsi="Carlito"/>
          <w:i w:val="0"/>
        </w:rPr>
        <w:t>Карточка информирует граждан, но не создаёт органу оценки право окончательно объявить альтернативу эквивалентной. Разногласие отражается как публичный спор с особыми мнениями.</w:t>
      </w:r>
    </w:p>
    <w:p>
      <w:pPr>
        <w:pStyle w:val="Heading2"/>
        <w:keepNext/>
        <w:widowControl/>
      </w:pPr>
      <w:r>
        <w:rPr>
          <w:rFonts w:ascii="Carlito" w:hAnsi="Carlito"/>
        </w:rPr>
        <w:t>8. Временное приостановление</w:t>
      </w:r>
    </w:p>
    <w:p>
      <w:pPr>
        <w:widowControl/>
      </w:pPr>
      <w:r>
        <w:rPr>
          <w:rFonts w:ascii="Carlito" w:hAnsi="Carlito"/>
          <w:i w:val="0"/>
        </w:rPr>
        <w:t>Приостановление применяется, когда продолжение временно невозможно или создаёт несоразмерный риск, но окончательный отказ преждевременен. Решение указывает точный объём, срок, условия возобновления, действия по сохранению прав и данные для проверки.</w:t>
      </w:r>
    </w:p>
    <w:p>
      <w:pPr>
        <w:widowControl/>
      </w:pPr>
      <w:r>
        <w:rPr>
          <w:rFonts w:ascii="Carlito" w:hAnsi="Carlito"/>
          <w:i w:val="0"/>
        </w:rPr>
        <w:t>Совокупный срок повторных приостановлений ограничивается национальным законом. Продление одного основания требует новых фактов и внешнего подтверждения. Бессрочная цепочка кратких решений запрещается.</w:t>
      </w:r>
    </w:p>
    <w:p>
      <w:pPr>
        <w:pStyle w:val="Heading2"/>
        <w:keepNext/>
        <w:widowControl/>
      </w:pPr>
      <w:r>
        <w:rPr>
          <w:rFonts w:ascii="Carlito" w:hAnsi="Carlito"/>
        </w:rPr>
        <w:t>9. Экстренная процедура</w:t>
      </w:r>
    </w:p>
    <w:p>
      <w:pPr>
        <w:widowControl/>
      </w:pPr>
      <w:r>
        <w:rPr>
          <w:rFonts w:ascii="Carlito" w:hAnsi="Carlito"/>
          <w:i w:val="0"/>
        </w:rPr>
        <w:t>При непосредственной угрозе жизни, безопасности, конституционному порядку или финансовой устойчивости компетентная власть вправе действовать немедленно. Предварительное общественное обсуждение и разрешение оценочного органа не требуются.</w:t>
      </w:r>
    </w:p>
    <w:p>
      <w:pPr>
        <w:widowControl/>
      </w:pPr>
      <w:r>
        <w:rPr>
          <w:rFonts w:ascii="Carlito" w:hAnsi="Carlito"/>
          <w:i w:val="0"/>
        </w:rPr>
        <w:t>В краткий срок публикуются решение, основание, объём, затронутые права, срок и доступные данные. После стабилизации проводится парламентский, аудиторский и, при наличии спора о правах или компетенции, судебный контроль.</w:t>
      </w:r>
    </w:p>
    <w:p>
      <w:pPr>
        <w:pStyle w:val="Heading2"/>
        <w:keepNext/>
        <w:widowControl/>
      </w:pPr>
      <w:r>
        <w:rPr>
          <w:rFonts w:ascii="Carlito" w:hAnsi="Carlito"/>
        </w:rPr>
        <w:t>10. Бюджетный шок</w:t>
      </w:r>
    </w:p>
    <w:p>
      <w:pPr>
        <w:widowControl/>
      </w:pPr>
      <w:r>
        <w:rPr>
          <w:rFonts w:ascii="Carlito" w:hAnsi="Carlito"/>
          <w:i w:val="0"/>
        </w:rPr>
        <w:t>Бюджетная несовместимость не решается скрытым исключением положения. Публикуются несколько сценариев: перенос, сокращение масштаба, изменение источника, перераспределение, временное приостановление или прекращение. Политический выбор делает компетентный бюджетный институт.</w:t>
      </w:r>
    </w:p>
    <w:p>
      <w:pPr>
        <w:widowControl/>
      </w:pPr>
      <w:r>
        <w:rPr>
          <w:rFonts w:ascii="Carlito" w:hAnsi="Carlito"/>
          <w:i w:val="0"/>
        </w:rPr>
        <w:t>Нельзя автоматически считать любое сокращение доходов форс-мажором. Необходимы масштаб, длительность, сравнение с иными расходами и доказательство того, что выбор не был создан искусственно для устранения неудобного пункта.</w:t>
      </w:r>
    </w:p>
    <w:p>
      <w:pPr>
        <w:pStyle w:val="Heading2"/>
        <w:keepNext/>
        <w:widowControl/>
      </w:pPr>
      <w:r>
        <w:rPr>
          <w:rFonts w:ascii="Carlito" w:hAnsi="Carlito"/>
        </w:rPr>
        <w:t>11. Права и недопустимые изменения</w:t>
      </w:r>
    </w:p>
    <w:p>
      <w:pPr>
        <w:widowControl/>
      </w:pPr>
      <w:r>
        <w:rPr>
          <w:rFonts w:ascii="Carlito" w:hAnsi="Carlito"/>
          <w:i w:val="0"/>
        </w:rPr>
        <w:t>Ни общественный мандат, ни декларация кандидата не оправдывают продолжение меры, нарушающей неотчуждаемые права. Решение о пересмотре не может ухудшать защищённое ядро прав только ради формальной верности первоначальной позиции.</w:t>
      </w:r>
    </w:p>
    <w:p>
      <w:pPr>
        <w:widowControl/>
      </w:pPr>
      <w:r>
        <w:rPr>
          <w:rFonts w:ascii="Carlito" w:hAnsi="Carlito"/>
          <w:i w:val="0"/>
        </w:rPr>
        <w:t>Одновременно ссылка на права должна указывать конкретную норму, затрагиваемое лицо или группу, характер вмешательства и тест соразмерности. Общие формулы не используются как политическое вето.</w:t>
      </w:r>
    </w:p>
    <w:p>
      <w:pPr>
        <w:pStyle w:val="Heading2"/>
        <w:keepNext/>
        <w:widowControl/>
      </w:pPr>
      <w:r>
        <w:rPr>
          <w:rFonts w:ascii="Carlito" w:hAnsi="Carlito"/>
        </w:rPr>
        <w:t>12. Совместная и межуровневая компетенция</w:t>
      </w:r>
    </w:p>
    <w:p>
      <w:pPr>
        <w:widowControl/>
      </w:pPr>
      <w:r>
        <w:rPr>
          <w:rFonts w:ascii="Carlito" w:hAnsi="Carlito"/>
          <w:i w:val="0"/>
        </w:rPr>
        <w:t>Если независимый парламент, суд, регион или муниципалитет отклонил необходимое решение, исполнитель раскрывает собственные действия и не приписывает отказу юридическое нарушение общественного поручения. Он может предложить альтернативу в своей компетенции либо признать зависимость неразрешённой.</w:t>
      </w:r>
    </w:p>
    <w:p>
      <w:pPr>
        <w:widowControl/>
      </w:pPr>
      <w:r>
        <w:rPr>
          <w:rFonts w:ascii="Carlito" w:hAnsi="Carlito"/>
          <w:i w:val="0"/>
        </w:rPr>
        <w:t>Центральная власть не вправе сохранить политическую выгоду от позиции, передав расходы и ответственность нижестоящему уровню без полномочий, финансирования и согласия, требуемого конституционным порядком.</w:t>
      </w:r>
    </w:p>
    <w:p>
      <w:pPr>
        <w:pStyle w:val="Heading2"/>
        <w:keepNext/>
        <w:widowControl/>
      </w:pPr>
      <w:r>
        <w:rPr>
          <w:rFonts w:ascii="Carlito" w:hAnsi="Carlito"/>
        </w:rPr>
        <w:t>13. Версионирование и историческая честность</w:t>
      </w:r>
    </w:p>
    <w:p>
      <w:pPr>
        <w:widowControl/>
      </w:pPr>
      <w:r>
        <w:rPr>
          <w:rFonts w:ascii="Carlito" w:hAnsi="Carlito"/>
          <w:i w:val="0"/>
        </w:rPr>
        <w:t>Каждое изменение сохраняет исходную редакцию, данные, основания, замечания и автора решения. Архив должен позволять установить, что гражданам и кандидатам было известно на каждом этапе.</w:t>
      </w:r>
    </w:p>
    <w:p>
      <w:pPr>
        <w:widowControl/>
      </w:pPr>
      <w:r>
        <w:rPr>
          <w:rFonts w:ascii="Carlito" w:hAnsi="Carlito"/>
          <w:i w:val="0"/>
        </w:rPr>
        <w:t>Запрещается переименовывать прекращённое положение в исполненное, если достигнута только другая, более узкая цель. Статусы «изменено», «заменено», «приостановлено» и «прекращено» не имеют презумпции вины, но не смешиваются с исполнением.</w:t>
      </w:r>
    </w:p>
    <w:p>
      <w:pPr>
        <w:pStyle w:val="Heading2"/>
        <w:keepNext/>
        <w:widowControl/>
      </w:pPr>
      <w:r>
        <w:rPr>
          <w:rFonts w:ascii="Carlito" w:hAnsi="Carlito"/>
        </w:rPr>
        <w:t>14. Контроль и обжалование</w:t>
      </w:r>
    </w:p>
    <w:p>
      <w:pPr>
        <w:widowControl/>
      </w:pPr>
      <w:r>
        <w:rPr>
          <w:rFonts w:ascii="Carlito" w:hAnsi="Carlito"/>
          <w:i w:val="0"/>
        </w:rPr>
        <w:t>Обжалованию подлежат отсутствие компетенции, нарушение обязательной процедуры, ложные факты, сокрытие данных, дискриминация, несоблюдение пределов чрезвычайного режима и нарушение прав. Суд не отменяет законное политическое изменение только потому, что первоначальный курс был популярнее.</w:t>
      </w:r>
    </w:p>
    <w:p>
      <w:pPr>
        <w:widowControl/>
      </w:pPr>
      <w:r>
        <w:rPr>
          <w:rFonts w:ascii="Carlito" w:hAnsi="Carlito"/>
          <w:i w:val="0"/>
        </w:rPr>
        <w:t>Внесудебная жалоба позволяет исправить карточку, данные, версию и доступность без превращения каждого политического разногласия в судебный процесс.</w:t>
      </w:r>
    </w:p>
    <w:p>
      <w:pPr>
        <w:pStyle w:val="Heading2"/>
        <w:keepNext/>
        <w:widowControl/>
      </w:pPr>
      <w:r>
        <w:rPr>
          <w:rFonts w:ascii="Carlito" w:hAnsi="Carlito"/>
        </w:rPr>
        <w:t>15. Ответственность</w:t>
      </w:r>
    </w:p>
    <w:p>
      <w:pPr>
        <w:widowControl/>
      </w:pPr>
      <w:r>
        <w:rPr>
          <w:rFonts w:ascii="Carlito" w:hAnsi="Carlito"/>
          <w:i w:val="0"/>
        </w:rPr>
        <w:t>Юридическая ответственность возможна за фальсификацию основания, незаконное сокрытие, уничтожение версии, принятие решения некомпетентным лицом, нарушение прав, коррупцию и неисполнение судебного акта. За само законное изменение политического курса наступает политическая, а не специальная юридическая ответственность.</w:t>
      </w:r>
    </w:p>
    <w:p>
      <w:pPr>
        <w:pStyle w:val="Heading2"/>
        <w:keepNext/>
        <w:widowControl/>
      </w:pPr>
      <w:r>
        <w:rPr>
          <w:rFonts w:ascii="Carlito" w:hAnsi="Carlito"/>
        </w:rPr>
        <w:t>16. Сильнейшие возражения и встроенные ответы</w:t>
      </w:r>
    </w:p>
    <w:p>
      <w:pPr>
        <w:widowControl/>
      </w:pPr>
      <w:r>
        <w:rPr>
          <w:rFonts w:ascii="Carlito" w:hAnsi="Carlito"/>
          <w:i w:val="0"/>
        </w:rPr>
        <w:t>Возражение «лёгкий пересмотр обесценивает поручение» снимается обязательным публичным следом и политической ценой открытого отказа. Возражение «трудный пересмотр блокирует управление» снимается отсутствием права вето оценщика и экстренной процедурой. Риск вечного форс-мажора ограничивается совокупным сроком и последующим контролем.</w:t>
      </w:r>
    </w:p>
    <w:p>
      <w:pPr>
        <w:pStyle w:val="Heading2"/>
        <w:keepNext/>
        <w:widowControl/>
      </w:pPr>
      <w:r>
        <w:rPr>
          <w:rFonts w:ascii="Carlito" w:hAnsi="Carlito"/>
        </w:rPr>
        <w:t>17. Связь с другими главами и вывод</w:t>
      </w:r>
    </w:p>
    <w:p>
      <w:pPr>
        <w:widowControl/>
      </w:pPr>
      <w:r>
        <w:rPr>
          <w:rFonts w:ascii="Carlito" w:hAnsi="Carlito"/>
          <w:i w:val="0"/>
        </w:rPr>
        <w:t>Глава использует планы и данные глав XXIV–XXV, учитывает промежуточную оценку главы XXVI, влияет на итоговую оценку главы XXVIII и архив главы XXX. Она не изменяет действующие законы, бюджеты и права вне обычной процедуры.</w:t>
      </w:r>
    </w:p>
    <w:p>
      <w:pPr>
        <w:pStyle w:val="DoctrineQuote"/>
        <w:widowControl/>
      </w:pPr>
      <w:r>
        <w:rPr>
          <w:rFonts w:ascii="Carlito" w:hAnsi="Carlito"/>
          <w:i w:val="0"/>
        </w:rPr>
        <w:t>Ответственная власть не обязана никогда менять мнение; она обязана не скрывать, что изменилось, почему это произошло и кто несёт последствия решения.</w:t>
      </w:r>
    </w:p>
    <w:p>
      <w:pPr>
        <w:widowControl/>
      </w:pPr>
      <w:r>
        <w:rPr>
          <w:rFonts w:ascii="Carlito" w:hAnsi="Carlito"/>
        </w:rPr>
        <w:br w:type="page"/>
      </w:r>
    </w:p>
    <w:p>
      <w:pPr>
        <w:pStyle w:val="Heading1"/>
        <w:keepNext/>
        <w:pageBreakBefore/>
        <w:spacing w:before="0" w:after="160"/>
        <w:widowControl/>
        <w:pBdr>
          <w:bottom w:val="single" w:sz="5" w:space="4" w:color="B4C6E7"/>
        </w:pBdr>
      </w:pPr>
      <w:r>
        <w:rPr>
          <w:rFonts w:ascii="Carlito" w:hAnsi="Carlito"/>
        </w:rPr>
        <w:t>Глава XXVIII. Итоговая оценка исполнения общественного мандата</w:t>
      </w:r>
    </w:p>
    <w:p>
      <w:pPr>
        <w:pStyle w:val="Heading2"/>
        <w:keepNext/>
        <w:widowControl/>
      </w:pPr>
      <w:r>
        <w:rPr>
          <w:rFonts w:ascii="Carlito" w:hAnsi="Carlito"/>
        </w:rPr>
        <w:t>1. Предмет и цель главы</w:t>
      </w:r>
    </w:p>
    <w:p>
      <w:pPr>
        <w:widowControl/>
      </w:pPr>
      <w:r>
        <w:rPr>
          <w:rFonts w:ascii="Carlito" w:hAnsi="Carlito"/>
          <w:i w:val="0"/>
        </w:rPr>
        <w:t>Настоящая глава определяет итоговую фиксацию фактов, результатов, ограничений и разногласий по завершении политического цикла. Итоговая оценка обеспечивает институциональную память и информирует последующие выборы, но не становится источником права или приговором о пригодности лица к участию в политике.</w:t>
      </w:r>
    </w:p>
    <w:p>
      <w:pPr>
        <w:pStyle w:val="DoctrineQuote"/>
        <w:widowControl/>
      </w:pPr>
      <w:r>
        <w:rPr>
          <w:rFonts w:ascii="Carlito" w:hAnsi="Carlito"/>
          <w:i w:val="0"/>
        </w:rPr>
        <w:t>Итоговая оценка — это независимый, многомерный и многоголосый публичный отчёт. Она не имеет монополии на политическую истину и не создаёт автоматических санкций.</w:t>
      </w:r>
    </w:p>
    <w:p>
      <w:pPr>
        <w:pStyle w:val="Heading2"/>
        <w:keepNext/>
        <w:widowControl/>
      </w:pPr>
      <w:r>
        <w:rPr>
          <w:rFonts w:ascii="Carlito" w:hAnsi="Carlito"/>
        </w:rPr>
        <w:t>2. Функции итоговой оценки</w:t>
      </w:r>
    </w:p>
    <w:p>
      <w:pPr>
        <w:pStyle w:val="ListBullet"/>
        <w:widowControl/>
      </w:pPr>
      <w:r>
        <w:rPr>
          <w:rFonts w:ascii="Carlito" w:hAnsi="Carlito"/>
        </w:rPr>
        <w:t>зафиксировать, какие собственные действия были совершены или не совершены;</w:t>
      </w:r>
    </w:p>
    <w:p>
      <w:pPr>
        <w:pStyle w:val="ListBullet"/>
        <w:widowControl/>
      </w:pPr>
      <w:r>
        <w:rPr>
          <w:rFonts w:ascii="Carlito" w:hAnsi="Carlito"/>
        </w:rPr>
        <w:t>сопоставить первоначальный и изменённый планы с фактической траекторией;</w:t>
      </w:r>
    </w:p>
    <w:p>
      <w:pPr>
        <w:pStyle w:val="ListBullet"/>
        <w:widowControl/>
      </w:pPr>
      <w:r>
        <w:rPr>
          <w:rFonts w:ascii="Carlito" w:hAnsi="Carlito"/>
        </w:rPr>
        <w:t>показать промежуточные продукты, общественный эффект и распределение последствий;</w:t>
      </w:r>
    </w:p>
    <w:p>
      <w:pPr>
        <w:pStyle w:val="ListBullet"/>
        <w:widowControl/>
      </w:pPr>
      <w:r>
        <w:rPr>
          <w:rFonts w:ascii="Carlito" w:hAnsi="Carlito"/>
        </w:rPr>
        <w:t>отделить вклад власти от внешних факторов и решений независимых институтов;</w:t>
      </w:r>
    </w:p>
    <w:p>
      <w:pPr>
        <w:pStyle w:val="ListBullet"/>
        <w:widowControl/>
      </w:pPr>
      <w:r>
        <w:rPr>
          <w:rFonts w:ascii="Carlito" w:hAnsi="Carlito"/>
        </w:rPr>
        <w:t>выявить формальное исполнение, непреднамеренный вред и качество адаптации;</w:t>
      </w:r>
    </w:p>
    <w:p>
      <w:pPr>
        <w:pStyle w:val="ListBullet"/>
        <w:widowControl/>
      </w:pPr>
      <w:r>
        <w:rPr>
          <w:rFonts w:ascii="Carlito" w:hAnsi="Carlito"/>
        </w:rPr>
        <w:t>сохранить данные, методики, разногласия и уроки для нового цикла;</w:t>
      </w:r>
    </w:p>
    <w:p>
      <w:pPr>
        <w:pStyle w:val="ListBullet"/>
        <w:widowControl/>
      </w:pPr>
      <w:r>
        <w:rPr>
          <w:rFonts w:ascii="Carlito" w:hAnsi="Carlito"/>
        </w:rPr>
        <w:t>предоставить гражданам доказательную основу для собственной политической оценки.</w:t>
      </w:r>
    </w:p>
    <w:p>
      <w:pPr>
        <w:pStyle w:val="Heading2"/>
        <w:keepNext/>
        <w:widowControl/>
      </w:pPr>
      <w:r>
        <w:rPr>
          <w:rFonts w:ascii="Carlito" w:hAnsi="Carlito"/>
        </w:rPr>
        <w:t>3. Срок и нейтральное окно публикации</w:t>
      </w:r>
    </w:p>
    <w:p>
      <w:pPr>
        <w:widowControl/>
      </w:pPr>
      <w:r>
        <w:rPr>
          <w:rFonts w:ascii="Carlito" w:hAnsi="Carlito"/>
          <w:i w:val="0"/>
        </w:rPr>
        <w:t>Национальная адаптация устанавливает срок, позволяющий использовать доступные данные и одновременно не скрывать отчёт до окончания следующей кампании. Дата должна быть заранее известна и не изменяться ради политической выгоды.</w:t>
      </w:r>
    </w:p>
    <w:p>
      <w:pPr>
        <w:widowControl/>
      </w:pPr>
      <w:r>
        <w:rPr>
          <w:rFonts w:ascii="Carlito" w:hAnsi="Carlito"/>
          <w:i w:val="0"/>
        </w:rPr>
        <w:t>Публикация не запрещается вблизи выборов, если задержка лишит граждан значимой информации. Вместо цензуры применяется нейтральное правило: одинаковый календарь для всех циклов, право на ответ и запрет официальной агитационной рекомендации.</w:t>
      </w:r>
    </w:p>
    <w:p>
      <w:pPr>
        <w:pStyle w:val="Heading2"/>
        <w:keepNext/>
        <w:widowControl/>
      </w:pPr>
      <w:r>
        <w:rPr>
          <w:rFonts w:ascii="Carlito" w:hAnsi="Carlito"/>
        </w:rPr>
        <w:t>4. Субъект итоговой оценки</w:t>
      </w:r>
    </w:p>
    <w:p>
      <w:pPr>
        <w:widowControl/>
      </w:pPr>
      <w:r>
        <w:rPr>
          <w:rFonts w:ascii="Carlito" w:hAnsi="Carlito"/>
          <w:i w:val="0"/>
        </w:rPr>
        <w:t>Оценку проводит временный консорциум, составленный из нескольких независимых профессиональных и общественных источников, либо комбинация существующих аудиторских, статистических, парламентских и исследовательских институтов. Его полномочия исчерпываются сбором доказательств, анализом и публикацией.</w:t>
      </w:r>
    </w:p>
    <w:p>
      <w:pPr>
        <w:widowControl/>
      </w:pPr>
      <w:r>
        <w:rPr>
          <w:rFonts w:ascii="Carlito" w:hAnsi="Carlito"/>
          <w:i w:val="0"/>
        </w:rPr>
        <w:t>Оператор реестра, субъект исполнения, поставщик цифровой системы и основной разработчик показателей не могут контролировать большинство оценочного состава.</w:t>
      </w:r>
    </w:p>
    <w:p>
      <w:pPr>
        <w:pStyle w:val="Heading2"/>
        <w:keepNext/>
        <w:widowControl/>
      </w:pPr>
      <w:r>
        <w:rPr>
          <w:rFonts w:ascii="Carlito" w:hAnsi="Carlito"/>
        </w:rPr>
        <w:t>5. Предварительная методика и сохранение исходных допущений</w:t>
      </w:r>
    </w:p>
    <w:p>
      <w:pPr>
        <w:widowControl/>
      </w:pPr>
      <w:r>
        <w:rPr>
          <w:rFonts w:ascii="Carlito" w:hAnsi="Carlito"/>
          <w:i w:val="0"/>
        </w:rPr>
        <w:t>Каркас итоговой методики публикуется до завершения периода исполнения. Она использует обе исходные базы, историю планов и зарегистрированные показатели. Изменения допускаются при появлении более качественного метода, но результаты по прежней версии сохраняются.</w:t>
      </w:r>
    </w:p>
    <w:p>
      <w:pPr>
        <w:widowControl/>
      </w:pPr>
      <w:r>
        <w:rPr>
          <w:rFonts w:ascii="Carlito" w:hAnsi="Carlito"/>
          <w:i w:val="0"/>
        </w:rPr>
        <w:t>Методика не может задним числом превращать незначимые действия в основной показатель либо исключать неудобный эффект без публичной карты изменений.</w:t>
      </w:r>
    </w:p>
    <w:p>
      <w:pPr>
        <w:pStyle w:val="Heading2"/>
        <w:keepNext/>
        <w:widowControl/>
      </w:pPr>
      <w:r>
        <w:rPr>
          <w:rFonts w:ascii="Carlito" w:hAnsi="Carlito"/>
        </w:rPr>
        <w:t>6. Измерения итогового отчёта</w:t>
      </w:r>
    </w:p>
    <w:p>
      <w:pPr>
        <w:widowControl/>
        <w:ind w:left="369" w:hanging="369"/>
      </w:pPr>
      <w:r>
        <w:rPr>
          <w:rFonts w:ascii="Carlito" w:hAnsi="Carlito"/>
          <w:b/>
        </w:rPr>
        <w:t xml:space="preserve">1. </w:t>
      </w:r>
      <w:r>
        <w:rPr>
          <w:rFonts w:ascii="Carlito" w:hAnsi="Carlito"/>
        </w:rPr>
        <w:t>собственные действия и соблюдение процедурных обязанностей;</w:t>
      </w:r>
    </w:p>
    <w:p>
      <w:pPr>
        <w:widowControl/>
        <w:ind w:left="369" w:hanging="369"/>
      </w:pPr>
      <w:r>
        <w:rPr>
          <w:rFonts w:ascii="Carlito" w:hAnsi="Carlito"/>
          <w:b/>
        </w:rPr>
        <w:t xml:space="preserve">2. </w:t>
      </w:r>
      <w:r>
        <w:rPr>
          <w:rFonts w:ascii="Carlito" w:hAnsi="Carlito"/>
        </w:rPr>
        <w:t>качество планирования, управления рисками и своевременность адаптации;</w:t>
      </w:r>
    </w:p>
    <w:p>
      <w:pPr>
        <w:widowControl/>
        <w:ind w:left="369" w:hanging="369"/>
      </w:pPr>
      <w:r>
        <w:rPr>
          <w:rFonts w:ascii="Carlito" w:hAnsi="Carlito"/>
          <w:b/>
        </w:rPr>
        <w:t xml:space="preserve">3. </w:t>
      </w:r>
      <w:r>
        <w:rPr>
          <w:rFonts w:ascii="Carlito" w:hAnsi="Carlito"/>
        </w:rPr>
        <w:t>промежуточные продукты и доступность созданных институтов или услуг;</w:t>
      </w:r>
    </w:p>
    <w:p>
      <w:pPr>
        <w:widowControl/>
        <w:ind w:left="369" w:hanging="369"/>
      </w:pPr>
      <w:r>
        <w:rPr>
          <w:rFonts w:ascii="Carlito" w:hAnsi="Carlito"/>
          <w:b/>
        </w:rPr>
        <w:t xml:space="preserve">4. </w:t>
      </w:r>
      <w:r>
        <w:rPr>
          <w:rFonts w:ascii="Carlito" w:hAnsi="Carlito"/>
        </w:rPr>
        <w:t>общественный результат и устойчивость эффекта;</w:t>
      </w:r>
    </w:p>
    <w:p>
      <w:pPr>
        <w:widowControl/>
        <w:ind w:left="369" w:hanging="369"/>
      </w:pPr>
      <w:r>
        <w:rPr>
          <w:rFonts w:ascii="Carlito" w:hAnsi="Carlito"/>
          <w:b/>
        </w:rPr>
        <w:t xml:space="preserve">5. </w:t>
      </w:r>
      <w:r>
        <w:rPr>
          <w:rFonts w:ascii="Carlito" w:hAnsi="Carlito"/>
        </w:rPr>
        <w:t>распределение выгод, издержек и рисков между территориями и группами;</w:t>
      </w:r>
    </w:p>
    <w:p>
      <w:pPr>
        <w:widowControl/>
        <w:ind w:left="369" w:hanging="369"/>
      </w:pPr>
      <w:r>
        <w:rPr>
          <w:rFonts w:ascii="Carlito" w:hAnsi="Carlito"/>
          <w:b/>
        </w:rPr>
        <w:t xml:space="preserve">6. </w:t>
      </w:r>
      <w:r>
        <w:rPr>
          <w:rFonts w:ascii="Carlito" w:hAnsi="Carlito"/>
        </w:rPr>
        <w:t>фактическая стоимость и альтернативная стоимость;</w:t>
      </w:r>
    </w:p>
    <w:p>
      <w:pPr>
        <w:widowControl/>
        <w:ind w:left="369" w:hanging="369"/>
      </w:pPr>
      <w:r>
        <w:rPr>
          <w:rFonts w:ascii="Carlito" w:hAnsi="Carlito"/>
          <w:b/>
        </w:rPr>
        <w:t xml:space="preserve">7. </w:t>
      </w:r>
      <w:r>
        <w:rPr>
          <w:rFonts w:ascii="Carlito" w:hAnsi="Carlito"/>
        </w:rPr>
        <w:t>внешние факторы и решения независимых субъектов;</w:t>
      </w:r>
    </w:p>
    <w:p>
      <w:pPr>
        <w:widowControl/>
        <w:ind w:left="369" w:hanging="369"/>
      </w:pPr>
      <w:r>
        <w:rPr>
          <w:rFonts w:ascii="Carlito" w:hAnsi="Carlito"/>
          <w:b/>
        </w:rPr>
        <w:t xml:space="preserve">8. </w:t>
      </w:r>
      <w:r>
        <w:rPr>
          <w:rFonts w:ascii="Carlito" w:hAnsi="Carlito"/>
        </w:rPr>
        <w:t>соблюдение прав человека, равенства и политической приватности;</w:t>
      </w:r>
    </w:p>
    <w:p>
      <w:pPr>
        <w:widowControl/>
        <w:ind w:left="369" w:hanging="369"/>
      </w:pPr>
      <w:r>
        <w:rPr>
          <w:rFonts w:ascii="Carlito" w:hAnsi="Carlito"/>
          <w:b/>
        </w:rPr>
        <w:t xml:space="preserve">9. </w:t>
      </w:r>
      <w:r>
        <w:rPr>
          <w:rFonts w:ascii="Carlito" w:hAnsi="Carlito"/>
        </w:rPr>
        <w:t>качество, полнота и проверяемость данных;</w:t>
      </w:r>
    </w:p>
    <w:p>
      <w:pPr>
        <w:widowControl/>
        <w:ind w:left="369" w:hanging="369"/>
      </w:pPr>
      <w:r>
        <w:rPr>
          <w:rFonts w:ascii="Carlito" w:hAnsi="Carlito"/>
          <w:b/>
        </w:rPr>
        <w:t xml:space="preserve">10. </w:t>
      </w:r>
      <w:r>
        <w:rPr>
          <w:rFonts w:ascii="Carlito" w:hAnsi="Carlito"/>
        </w:rPr>
        <w:t>непреднамеренные последствия и выводы для следующего цикла.</w:t>
      </w:r>
    </w:p>
    <w:p>
      <w:pPr>
        <w:pStyle w:val="Heading2"/>
        <w:keepNext/>
        <w:widowControl/>
      </w:pPr>
      <w:r>
        <w:rPr>
          <w:rFonts w:ascii="Carlito" w:hAnsi="Carlito"/>
        </w:rPr>
        <w:t>7. Запрет единого официального рейтинга</w:t>
      </w:r>
    </w:p>
    <w:p>
      <w:pPr>
        <w:widowControl/>
      </w:pPr>
      <w:r>
        <w:rPr>
          <w:rFonts w:ascii="Carlito" w:hAnsi="Carlito"/>
          <w:i w:val="0"/>
        </w:rPr>
        <w:t>Отчёт не присваивает общий процент, место в рейтинге, буквенную оценку или официальный вердикт «успех/провал». Такие показатели скрывают различие между контролируемыми действиями, общественным эффектом, затратами и внешней средой и создают ложную судебность.</w:t>
      </w:r>
    </w:p>
    <w:p>
      <w:pPr>
        <w:widowControl/>
      </w:pPr>
      <w:r>
        <w:rPr>
          <w:rFonts w:ascii="Carlito" w:hAnsi="Carlito"/>
          <w:i w:val="0"/>
        </w:rPr>
        <w:t>Для навигации допускается краткое резюме по каждому измерению, но оно должно сопровождаться исходными фактами, неопределённостью и ссылками на полную доказательную базу.</w:t>
      </w:r>
    </w:p>
    <w:p>
      <w:pPr>
        <w:pStyle w:val="Heading2"/>
        <w:keepNext/>
        <w:widowControl/>
      </w:pPr>
      <w:r>
        <w:rPr>
          <w:rFonts w:ascii="Carlito" w:hAnsi="Carlito"/>
        </w:rPr>
        <w:t>8. Причинность и неопределённость</w:t>
      </w:r>
    </w:p>
    <w:p>
      <w:pPr>
        <w:widowControl/>
      </w:pPr>
      <w:r>
        <w:rPr>
          <w:rFonts w:ascii="Carlito" w:hAnsi="Carlito"/>
          <w:i w:val="0"/>
        </w:rPr>
        <w:t>Вывод о причинной связи формулируется только в пределах доказательств. При конкурирующих объяснениях показываются альтернативы и чувствительность результата. Отсутствие доказанной причинности не означает автоматически отсутствия эффекта, а совпадение во времени не считается достаточным доказательством успеха.</w:t>
      </w:r>
    </w:p>
    <w:p>
      <w:pPr>
        <w:widowControl/>
      </w:pPr>
      <w:r>
        <w:rPr>
          <w:rFonts w:ascii="Carlito" w:hAnsi="Carlito"/>
          <w:i w:val="0"/>
        </w:rPr>
        <w:t>Особо отмечаются результаты, которые зависели от решений парламента, суда, регионов, рынка, международной среды или длительного временного лага.</w:t>
      </w:r>
    </w:p>
    <w:p>
      <w:pPr>
        <w:pStyle w:val="Heading2"/>
        <w:keepNext/>
        <w:widowControl/>
      </w:pPr>
      <w:r>
        <w:rPr>
          <w:rFonts w:ascii="Carlito" w:hAnsi="Carlito"/>
        </w:rPr>
        <w:t>9. Иерархия доказательств</w:t>
      </w:r>
    </w:p>
    <w:p>
      <w:pPr>
        <w:widowControl/>
      </w:pPr>
      <w:r>
        <w:rPr>
          <w:rFonts w:ascii="Carlito" w:hAnsi="Carlito"/>
          <w:i w:val="0"/>
        </w:rPr>
        <w:t>Приоритет имеют проверенные первичные данные, официальные документы с историей версий, независимые аудиты и воспроизводимые расчёты. Опросы, экспертные суждения и свидетельства используются с раскрытием выборки, метода и ограничений. Самоотчёт исполнителя не может быть единственным доказательством спорного результата.</w:t>
      </w:r>
    </w:p>
    <w:p>
      <w:pPr>
        <w:pStyle w:val="Heading2"/>
        <w:keepNext/>
        <w:widowControl/>
      </w:pPr>
      <w:r>
        <w:rPr>
          <w:rFonts w:ascii="Carlito" w:hAnsi="Carlito"/>
        </w:rPr>
        <w:t>10. Право на ответ и состязательность</w:t>
      </w:r>
    </w:p>
    <w:p>
      <w:pPr>
        <w:widowControl/>
      </w:pPr>
      <w:r>
        <w:rPr>
          <w:rFonts w:ascii="Carlito" w:hAnsi="Carlito"/>
          <w:i w:val="0"/>
        </w:rPr>
        <w:t>Оцениваемые субъекты получают фактический проект, представляют возражения и собственный анализ. Ответ публикуется одновременно с отчётом. Консорциум обязан отразить существенные разногласия, но не обязан принимать политическую интерпретацию власти.</w:t>
      </w:r>
    </w:p>
    <w:p>
      <w:pPr>
        <w:widowControl/>
      </w:pPr>
      <w:r>
        <w:rPr>
          <w:rFonts w:ascii="Carlito" w:hAnsi="Carlito"/>
          <w:i w:val="0"/>
        </w:rPr>
        <w:t>Гражданские, региональные, парламентские и иные затронутые субъекты могут представить отдельные приложения. Отбор приложений основан на заранее опубликованных критериях, а отказ мотивируется и обжалуется по фактическим основаниям.</w:t>
      </w:r>
    </w:p>
    <w:p>
      <w:pPr>
        <w:pStyle w:val="Heading2"/>
        <w:keepNext/>
        <w:widowControl/>
      </w:pPr>
      <w:r>
        <w:rPr>
          <w:rFonts w:ascii="Carlito" w:hAnsi="Carlito"/>
        </w:rPr>
        <w:t>11. Особые мнения и плюрализм</w:t>
      </w:r>
    </w:p>
    <w:p>
      <w:pPr>
        <w:widowControl/>
      </w:pPr>
      <w:r>
        <w:rPr>
          <w:rFonts w:ascii="Carlito" w:hAnsi="Carlito"/>
          <w:i w:val="0"/>
        </w:rPr>
        <w:t>Если члены консорциума расходятся в причинности, значении показателя или допустимости сопоставления, особые мнения публикуются без снижения видимости. Итоговый текст отличает установленные факты, большинство аналитиков, меньшинство и открытый исследовательский вопрос.</w:t>
      </w:r>
    </w:p>
    <w:p>
      <w:pPr>
        <w:widowControl/>
      </w:pPr>
      <w:r>
        <w:rPr>
          <w:rFonts w:ascii="Carlito" w:hAnsi="Carlito"/>
          <w:i w:val="0"/>
        </w:rPr>
        <w:t>Государство обеспечивает доступ к отчёту, но не запрещает альтернативные оценки и не требует от медиа или исследователей воспроизводить официальный вывод.</w:t>
      </w:r>
    </w:p>
    <w:p>
      <w:pPr>
        <w:pStyle w:val="Heading2"/>
        <w:keepNext/>
        <w:widowControl/>
      </w:pPr>
      <w:r>
        <w:rPr>
          <w:rFonts w:ascii="Carlito" w:hAnsi="Carlito"/>
        </w:rPr>
        <w:t>12. Доступное представление</w:t>
      </w:r>
    </w:p>
    <w:p>
      <w:pPr>
        <w:widowControl/>
      </w:pPr>
      <w:r>
        <w:rPr>
          <w:rFonts w:ascii="Carlito" w:hAnsi="Carlito"/>
          <w:i w:val="0"/>
        </w:rPr>
        <w:t>Наряду с полной версией публикуются краткая, машиночитаемая, аудиовизуальная и доступная для лиц с инвалидностью версии. Упрощение не должно убирать ключевые оговорки и превращать многомерный вывод в пропагандистский лозунг.</w:t>
      </w:r>
    </w:p>
    <w:p>
      <w:pPr>
        <w:pStyle w:val="Heading2"/>
        <w:keepNext/>
        <w:widowControl/>
      </w:pPr>
      <w:r>
        <w:rPr>
          <w:rFonts w:ascii="Carlito" w:hAnsi="Carlito"/>
        </w:rPr>
        <w:t>13. Исправление фактов и обжалование</w:t>
      </w:r>
    </w:p>
    <w:p>
      <w:pPr>
        <w:widowControl/>
      </w:pPr>
      <w:r>
        <w:rPr>
          <w:rFonts w:ascii="Carlito" w:hAnsi="Carlito"/>
          <w:i w:val="0"/>
        </w:rPr>
        <w:t>Фактические ошибки, неверное применение опубликованной методики, конфликт интересов, нарушение доступа к материалам и неправомерное раскрытие данных подлежат ускоренному исправлению и, при необходимости, судебному контролю.</w:t>
      </w:r>
    </w:p>
    <w:p>
      <w:pPr>
        <w:widowControl/>
      </w:pPr>
      <w:r>
        <w:rPr>
          <w:rFonts w:ascii="Carlito" w:hAnsi="Carlito"/>
          <w:i w:val="0"/>
        </w:rPr>
        <w:t>Суд не устанавливает единственный политический итог и не заменяет аналитическое разногласие собственной оценкой целесообразности. После исправления сохраняются первоначальная версия, решение и дата изменения.</w:t>
      </w:r>
    </w:p>
    <w:p>
      <w:pPr>
        <w:pStyle w:val="Heading2"/>
        <w:keepNext/>
        <w:widowControl/>
      </w:pPr>
      <w:r>
        <w:rPr>
          <w:rFonts w:ascii="Carlito" w:hAnsi="Carlito"/>
        </w:rPr>
        <w:t>14. Связь с выборами</w:t>
      </w:r>
    </w:p>
    <w:p>
      <w:pPr>
        <w:widowControl/>
      </w:pPr>
      <w:r>
        <w:rPr>
          <w:rFonts w:ascii="Carlito" w:hAnsi="Carlito"/>
          <w:i w:val="0"/>
        </w:rPr>
        <w:t>Отчёт включается в официальный информационный контур следующего цикла как один из источников. Он не содержит рекомендации голосовать за или против лица, не ограничивает регистрацию и не создаёт презумпцию виновности.</w:t>
      </w:r>
    </w:p>
    <w:p>
      <w:pPr>
        <w:widowControl/>
      </w:pPr>
      <w:r>
        <w:rPr>
          <w:rFonts w:ascii="Carlito" w:hAnsi="Carlito"/>
          <w:i w:val="0"/>
        </w:rPr>
        <w:t>Избиратель самостоятельно решает, какое значение придавать действиям, результатам, изменению курса и внешним обстоятельствам. Политическая ответственность реализуется через свободную конкуренцию, парламентский контроль, публичную дискуссию и выборы.</w:t>
      </w:r>
    </w:p>
    <w:p>
      <w:pPr>
        <w:pStyle w:val="Heading2"/>
        <w:keepNext/>
        <w:widowControl/>
      </w:pPr>
      <w:r>
        <w:rPr>
          <w:rFonts w:ascii="Carlito" w:hAnsi="Carlito"/>
        </w:rPr>
        <w:t>15. Незавершённые положения</w:t>
      </w:r>
    </w:p>
    <w:p>
      <w:pPr>
        <w:widowControl/>
      </w:pPr>
      <w:r>
        <w:rPr>
          <w:rFonts w:ascii="Carlito" w:hAnsi="Carlito"/>
          <w:i w:val="0"/>
        </w:rPr>
        <w:t>Для продолжающихся программ отчёт фиксирует состояние на дату завершения цикла, правовую основу дальнейшего существования и ответственного административного субъекта. Итоговая оценка может обновляться постцикловым приложением, но не переносит автоматически политическую позицию на нового победителя.</w:t>
      </w:r>
    </w:p>
    <w:p>
      <w:pPr>
        <w:pStyle w:val="Heading2"/>
        <w:keepNext/>
        <w:widowControl/>
      </w:pPr>
      <w:r>
        <w:rPr>
          <w:rFonts w:ascii="Carlito" w:hAnsi="Carlito"/>
        </w:rPr>
        <w:t>16. Данные, безопасность и архив</w:t>
      </w:r>
    </w:p>
    <w:p>
      <w:pPr>
        <w:widowControl/>
      </w:pPr>
      <w:r>
        <w:rPr>
          <w:rFonts w:ascii="Carlito" w:hAnsi="Carlito"/>
          <w:i w:val="0"/>
        </w:rPr>
        <w:t>Публикация итогов соблюдает минимизацию данных и структурную несвязываемость политического участия. Не допускается объединять сведения об авторах, поддержавших, участниках обсуждений и голосовавших с оценкой исполнения.</w:t>
      </w:r>
    </w:p>
    <w:p>
      <w:pPr>
        <w:widowControl/>
      </w:pPr>
      <w:r>
        <w:rPr>
          <w:rFonts w:ascii="Carlito" w:hAnsi="Carlito"/>
          <w:i w:val="0"/>
        </w:rPr>
        <w:t>Закрытые материалы хранятся по обычным правилам с независимым аудитом, сроком рассекречивания и публичным резюме. Архив включает методику, код, данные, особые мнения и историю исправлений.</w:t>
      </w:r>
    </w:p>
    <w:p>
      <w:pPr>
        <w:pStyle w:val="Heading2"/>
        <w:keepNext/>
        <w:widowControl/>
      </w:pPr>
      <w:r>
        <w:rPr>
          <w:rFonts w:ascii="Carlito" w:hAnsi="Carlito"/>
        </w:rPr>
        <w:t>17. Сильнейшие возражения и встроенные ответы</w:t>
      </w:r>
    </w:p>
    <w:p>
      <w:pPr>
        <w:widowControl/>
      </w:pPr>
      <w:r>
        <w:rPr>
          <w:rFonts w:ascii="Carlito" w:hAnsi="Carlito"/>
          <w:i w:val="0"/>
        </w:rPr>
        <w:t>Риск политического суда снижается отсутствием единого балла и автоматических последствий. Риск захвата методики ограничивается предварительной регистрацией, открытыми данными и особыми мнениями. Риск агитационного вмешательства ограничивается нейтральным календарём и запретом официальной рекомендации, но не сокрытием информации от избирателя.</w:t>
      </w:r>
    </w:p>
    <w:p>
      <w:pPr>
        <w:widowControl/>
      </w:pPr>
      <w:r>
        <w:t>Публикация оценки осуществляется в стабильное заранее установленное окно, которое нельзя произвольно переносить ближе к выборам. Ответ оцениваемого субъекта публикуется одновременно; единый официальный итоговый рейтинг и ярлык добросовестности запрещены.</w:t>
      </w:r>
    </w:p>
    <w:p>
      <w:pPr>
        <w:widowControl/>
      </w:pPr>
      <w:r>
        <w:t>Процедурные нарушения влекут только исчерпывающие средства исправления и обычную ответственность за самостоятельный состав. Их накопление не ограничивает политические права автоматически.</w:t>
      </w:r>
    </w:p>
    <w:p>
      <w:pPr>
        <w:pStyle w:val="Heading2"/>
        <w:keepNext/>
        <w:widowControl/>
      </w:pPr>
      <w:r>
        <w:rPr>
          <w:rFonts w:ascii="Carlito" w:hAnsi="Carlito"/>
        </w:rPr>
        <w:t>18. Связь с другими главами и вывод</w:t>
      </w:r>
    </w:p>
    <w:p>
      <w:pPr>
        <w:widowControl/>
      </w:pPr>
      <w:r>
        <w:rPr>
          <w:rFonts w:ascii="Carlito" w:hAnsi="Carlito"/>
          <w:i w:val="0"/>
        </w:rPr>
        <w:t>Глава завершает аналитическую цепочку глав XXIV–XXVII, служит основой публичной ответственности главы XXIX и передаёт материалы в институциональную память главы XXX.</w:t>
      </w:r>
    </w:p>
    <w:p>
      <w:pPr>
        <w:pStyle w:val="DoctrineQuote"/>
        <w:widowControl/>
      </w:pPr>
      <w:r>
        <w:rPr>
          <w:rFonts w:ascii="Carlito" w:hAnsi="Carlito"/>
          <w:i w:val="0"/>
        </w:rPr>
        <w:t>Итоговая оценка должна сохранять правду о сложном процессе, а не производить удобный политический приговор.</w:t>
      </w:r>
    </w:p>
    <w:p>
      <w:pPr>
        <w:widowControl/>
      </w:pPr>
      <w:r>
        <w:rPr>
          <w:rFonts w:ascii="Carlito" w:hAnsi="Carlito"/>
        </w:rPr>
        <w:br w:type="page"/>
      </w:r>
    </w:p>
    <w:p>
      <w:pPr>
        <w:pStyle w:val="Heading1"/>
        <w:keepNext/>
        <w:pageBreakBefore/>
        <w:spacing w:before="0" w:after="160"/>
        <w:widowControl/>
        <w:pBdr>
          <w:bottom w:val="single" w:sz="5" w:space="4" w:color="B4C6E7"/>
        </w:pBdr>
      </w:pPr>
      <w:r>
        <w:rPr>
          <w:rFonts w:ascii="Carlito" w:hAnsi="Carlito"/>
        </w:rPr>
        <w:t>Глава XXIX. Последствия итоговой оценки и формы публичной ответственности</w:t>
      </w:r>
    </w:p>
    <w:p>
      <w:pPr>
        <w:pStyle w:val="Heading2"/>
        <w:keepNext/>
        <w:widowControl/>
      </w:pPr>
      <w:r>
        <w:rPr>
          <w:rFonts w:ascii="Carlito" w:hAnsi="Carlito"/>
        </w:rPr>
        <w:t>1. Предмет и цель главы</w:t>
      </w:r>
    </w:p>
    <w:p>
      <w:pPr>
        <w:widowControl/>
      </w:pPr>
      <w:r>
        <w:rPr>
          <w:rFonts w:ascii="Carlito" w:hAnsi="Carlito"/>
          <w:i w:val="0"/>
        </w:rPr>
        <w:t>Настоящая глава разводит политическую и юридическую ответственность и устанавливает допустимые последствия итоговой оценки. Её цель — не допустить ни безответственности, ни превращения Доктрины в инструмент устранения конкурентов.</w:t>
      </w:r>
    </w:p>
    <w:p>
      <w:pPr>
        <w:pStyle w:val="DoctrineQuote"/>
        <w:widowControl/>
      </w:pPr>
      <w:r>
        <w:rPr>
          <w:rFonts w:ascii="Carlito" w:hAnsi="Carlito"/>
          <w:i w:val="0"/>
        </w:rPr>
        <w:t>Политическая неудача оценивается гражданами и представительными институтами. Юридическая ответственность наступает только за отдельное, заранее определённое правонарушение, доказанное в надлежащей процедуре.</w:t>
      </w:r>
    </w:p>
    <w:p>
      <w:pPr>
        <w:pStyle w:val="Heading2"/>
        <w:keepNext/>
        <w:widowControl/>
      </w:pPr>
      <w:r>
        <w:rPr>
          <w:rFonts w:ascii="Carlito" w:hAnsi="Carlito"/>
        </w:rPr>
        <w:t>2. Формы политической ответственности</w:t>
      </w:r>
    </w:p>
    <w:p>
      <w:pPr>
        <w:pStyle w:val="ListBullet"/>
        <w:widowControl/>
      </w:pPr>
      <w:r>
        <w:rPr>
          <w:rFonts w:ascii="Carlito" w:hAnsi="Carlito"/>
        </w:rPr>
        <w:t>публикация итогового отчёта и ответа оцениваемого субъекта;</w:t>
      </w:r>
    </w:p>
    <w:p>
      <w:pPr>
        <w:pStyle w:val="ListBullet"/>
        <w:widowControl/>
      </w:pPr>
      <w:r>
        <w:rPr>
          <w:rFonts w:ascii="Carlito" w:hAnsi="Carlito"/>
        </w:rPr>
        <w:t>парламентские слушания, запросы и дебаты;</w:t>
      </w:r>
    </w:p>
    <w:p>
      <w:pPr>
        <w:pStyle w:val="ListBullet"/>
        <w:widowControl/>
      </w:pPr>
      <w:r>
        <w:rPr>
          <w:rFonts w:ascii="Carlito" w:hAnsi="Carlito"/>
        </w:rPr>
        <w:t>публичное объяснение решений, отказов и изменений курса;</w:t>
      </w:r>
    </w:p>
    <w:p>
      <w:pPr>
        <w:pStyle w:val="ListBullet"/>
        <w:widowControl/>
      </w:pPr>
      <w:r>
        <w:rPr>
          <w:rFonts w:ascii="Carlito" w:hAnsi="Carlito"/>
        </w:rPr>
        <w:t>оценка партий, кандидатов, медиа, исследователей и граждан;</w:t>
      </w:r>
    </w:p>
    <w:p>
      <w:pPr>
        <w:pStyle w:val="ListBullet"/>
        <w:widowControl/>
      </w:pPr>
      <w:r>
        <w:rPr>
          <w:rFonts w:ascii="Carlito" w:hAnsi="Carlito"/>
        </w:rPr>
        <w:t>учёт информации при формировании коалиции, программы и следующего общественного мандата;</w:t>
      </w:r>
    </w:p>
    <w:p>
      <w:pPr>
        <w:pStyle w:val="ListBullet"/>
        <w:widowControl/>
      </w:pPr>
      <w:r>
        <w:rPr>
          <w:rFonts w:ascii="Carlito" w:hAnsi="Carlito"/>
        </w:rPr>
        <w:t>свободное решение избирателей на следующих выборах.</w:t>
      </w:r>
    </w:p>
    <w:p>
      <w:pPr>
        <w:widowControl/>
      </w:pPr>
      <w:r>
        <w:rPr>
          <w:rFonts w:ascii="Carlito" w:hAnsi="Carlito"/>
          <w:i w:val="0"/>
        </w:rPr>
        <w:t>Эти последствия реальны, но не являются юридическим наказанием и не могут быть монополизированы специальным органом.</w:t>
      </w:r>
    </w:p>
    <w:p>
      <w:pPr>
        <w:pStyle w:val="Heading2"/>
        <w:keepNext/>
        <w:widowControl/>
      </w:pPr>
      <w:r>
        <w:rPr>
          <w:rFonts w:ascii="Carlito" w:hAnsi="Carlito"/>
        </w:rPr>
        <w:t>3. Запрещённые специальные последствия</w:t>
      </w:r>
    </w:p>
    <w:p>
      <w:pPr>
        <w:pStyle w:val="ListBullet"/>
        <w:widowControl/>
      </w:pPr>
      <w:r>
        <w:rPr>
          <w:rFonts w:ascii="Carlito" w:hAnsi="Carlito"/>
        </w:rPr>
        <w:t>дисквалификация кандидата или запрет регистрации за политическое неисполнение;</w:t>
      </w:r>
    </w:p>
    <w:p>
      <w:pPr>
        <w:pStyle w:val="ListBullet"/>
        <w:widowControl/>
      </w:pPr>
      <w:r>
        <w:rPr>
          <w:rFonts w:ascii="Carlito" w:hAnsi="Carlito"/>
        </w:rPr>
        <w:t>автоматическое ограничение переизбрания, партийного финансирования или доступа к эфирному времени;</w:t>
      </w:r>
    </w:p>
    <w:p>
      <w:pPr>
        <w:pStyle w:val="ListBullet"/>
        <w:widowControl/>
      </w:pPr>
      <w:r>
        <w:rPr>
          <w:rFonts w:ascii="Carlito" w:hAnsi="Carlito"/>
        </w:rPr>
        <w:t>штраф за недостижение комплексного социального или экономического результата;</w:t>
      </w:r>
    </w:p>
    <w:p>
      <w:pPr>
        <w:pStyle w:val="ListBullet"/>
        <w:widowControl/>
      </w:pPr>
      <w:r>
        <w:rPr>
          <w:rFonts w:ascii="Carlito" w:hAnsi="Carlito"/>
        </w:rPr>
        <w:t>автоматическая отставка, импичмент или вотум недоверия вне обычной конституционной процедуры;</w:t>
      </w:r>
    </w:p>
    <w:p>
      <w:pPr>
        <w:pStyle w:val="ListBullet"/>
        <w:widowControl/>
      </w:pPr>
      <w:r>
        <w:rPr>
          <w:rFonts w:ascii="Carlito" w:hAnsi="Carlito"/>
        </w:rPr>
        <w:t>судебное предписание парламенту принять закон, выделить бюджет или голосовать определённым образом;</w:t>
      </w:r>
    </w:p>
    <w:p>
      <w:pPr>
        <w:pStyle w:val="ListBullet"/>
        <w:widowControl/>
      </w:pPr>
      <w:r>
        <w:rPr>
          <w:rFonts w:ascii="Carlito" w:hAnsi="Carlito"/>
        </w:rPr>
        <w:t>официальный рейтинг лояльности общественному мандату;</w:t>
      </w:r>
    </w:p>
    <w:p>
      <w:pPr>
        <w:pStyle w:val="ListBullet"/>
        <w:widowControl/>
      </w:pPr>
      <w:r>
        <w:rPr>
          <w:rFonts w:ascii="Carlito" w:hAnsi="Carlito"/>
        </w:rPr>
        <w:t>коллективная ответственность партии, ведомства, региона или населения за действия отдельных лиц.</w:t>
      </w:r>
    </w:p>
    <w:p>
      <w:pPr>
        <w:pStyle w:val="Heading2"/>
        <w:keepNext/>
        <w:widowControl/>
      </w:pPr>
      <w:r>
        <w:rPr>
          <w:rFonts w:ascii="Carlito" w:hAnsi="Carlito"/>
        </w:rPr>
        <w:t>4. Процедурные нарушения</w:t>
      </w:r>
    </w:p>
    <w:p>
      <w:pPr>
        <w:widowControl/>
      </w:pPr>
      <w:r>
        <w:rPr>
          <w:rFonts w:ascii="Carlito" w:hAnsi="Carlito"/>
          <w:i w:val="0"/>
        </w:rPr>
        <w:t>Самостоятельными правонарушениями могут быть признаны, если это установлено законом: непубликация обязательного плана или отчёта; сознательная фальсификация данных; уничтожение версии; незаконное засекречивание; коррупция; сокрытие конфликта интересов; нарушение закупочных и бюджетных правил; отказ исполнить судебный акт; дискриминация; повторная идентификация и преследование граждан за политическое участие.</w:t>
      </w:r>
    </w:p>
    <w:p>
      <w:pPr>
        <w:widowControl/>
      </w:pPr>
      <w:r>
        <w:rPr>
          <w:rFonts w:ascii="Carlito" w:hAnsi="Carlito"/>
          <w:i w:val="0"/>
        </w:rPr>
        <w:t>Состав, субъект, вина, доказательства, срок давности и средство защиты определяются обычным правом. Доктрина не создаёт упрощённый квазисудебный режим.</w:t>
      </w:r>
    </w:p>
    <w:p>
      <w:pPr>
        <w:pStyle w:val="Heading2"/>
        <w:keepNext/>
        <w:widowControl/>
      </w:pPr>
      <w:r>
        <w:rPr>
          <w:rFonts w:ascii="Carlito" w:hAnsi="Carlito"/>
        </w:rPr>
        <w:t>5. Разграничение результата и правонарушения</w:t>
      </w:r>
    </w:p>
    <w:p>
      <w:pPr>
        <w:widowControl/>
      </w:pPr>
      <w:r>
        <w:rPr>
          <w:rFonts w:ascii="Carlito" w:hAnsi="Carlito"/>
          <w:i w:val="0"/>
        </w:rPr>
        <w:t>Низкий общественный эффект, перерасход, задержка или изменение курса могут стать поводом для проверки, но не являются автоматически нарушением. Для юридической ответственности необходимо установить конкретную обязанность, доступный субъекту контроль, противоправность, вину там, где она требуется, и причинную связь.</w:t>
      </w:r>
    </w:p>
    <w:p>
      <w:pPr>
        <w:widowControl/>
      </w:pPr>
      <w:r>
        <w:rPr>
          <w:rFonts w:ascii="Carlito" w:hAnsi="Carlito"/>
          <w:i w:val="0"/>
        </w:rPr>
        <w:t>Не допускается обратная логика, при которой неудовлетворительная политическая оценка заменяет доказательство состава правонарушения.</w:t>
      </w:r>
    </w:p>
    <w:p>
      <w:pPr>
        <w:pStyle w:val="Heading2"/>
        <w:keepNext/>
        <w:widowControl/>
      </w:pPr>
      <w:r>
        <w:rPr>
          <w:rFonts w:ascii="Carlito" w:hAnsi="Carlito"/>
        </w:rPr>
        <w:t>6. Парламентская ответственность</w:t>
      </w:r>
    </w:p>
    <w:p>
      <w:pPr>
        <w:widowControl/>
      </w:pPr>
      <w:r>
        <w:rPr>
          <w:rFonts w:ascii="Carlito" w:hAnsi="Carlito"/>
          <w:i w:val="0"/>
        </w:rPr>
        <w:t>Парламент сохраняет свободный мандат и бюджетную компетенцию. Он может быть обязан рассмотреть вопрос, провести слушание и опубликовать решение, если это установлено национальным законом, но не обязан голосовать в соответствии с общественным мандатом или декларацией исполнительного кандидата.</w:t>
      </w:r>
    </w:p>
    <w:p>
      <w:pPr>
        <w:widowControl/>
      </w:pPr>
      <w:r>
        <w:rPr>
          <w:rFonts w:ascii="Carlito" w:hAnsi="Carlito"/>
          <w:i w:val="0"/>
        </w:rPr>
        <w:t>Публичная фиксация того, как парламент рассмотрел вопрос, допустима; официальный вывод о «неподчинении народу» недопустим как государственная квалификация.</w:t>
      </w:r>
    </w:p>
    <w:p>
      <w:pPr>
        <w:pStyle w:val="Heading2"/>
        <w:keepNext/>
        <w:widowControl/>
      </w:pPr>
      <w:r>
        <w:rPr>
          <w:rFonts w:ascii="Carlito" w:hAnsi="Carlito"/>
        </w:rPr>
        <w:t>7. Исполнительная и административная ответственность</w:t>
      </w:r>
    </w:p>
    <w:p>
      <w:pPr>
        <w:widowControl/>
      </w:pPr>
      <w:r>
        <w:rPr>
          <w:rFonts w:ascii="Carlito" w:hAnsi="Carlito"/>
          <w:i w:val="0"/>
        </w:rPr>
        <w:t>Избранное исполнительное лицо отвечает политически за собственную декларацию, план, выбор способов и объяснение изменений. Должностные лица отвечают юридически только в пределах служебных полномочий и конкретных обязанностей.</w:t>
      </w:r>
    </w:p>
    <w:p>
      <w:pPr>
        <w:widowControl/>
      </w:pPr>
      <w:r>
        <w:rPr>
          <w:rFonts w:ascii="Carlito" w:hAnsi="Carlito"/>
          <w:i w:val="0"/>
        </w:rPr>
        <w:t>Нельзя назначать нижестоящего чиновника виновным за отсутствие закона, бюджета или решения независимого региона. Лицо, заведомо создавшее фиктивного владельца результата, отвечает за соответствующее процедурное нарушение.</w:t>
      </w:r>
    </w:p>
    <w:p>
      <w:pPr>
        <w:pStyle w:val="Heading2"/>
        <w:keepNext/>
        <w:widowControl/>
      </w:pPr>
      <w:r>
        <w:rPr>
          <w:rFonts w:ascii="Carlito" w:hAnsi="Carlito"/>
        </w:rPr>
        <w:t>8. Ответственность оператора, оценщиков и экспертов</w:t>
      </w:r>
    </w:p>
    <w:p>
      <w:pPr>
        <w:widowControl/>
      </w:pPr>
      <w:r>
        <w:rPr>
          <w:rFonts w:ascii="Carlito" w:hAnsi="Carlito"/>
          <w:i w:val="0"/>
        </w:rPr>
        <w:t>Оператор отвечает за целостность реестра, сроки, доступность, безопасность и версионирование. Оценщики и эксперты отвечают за сокрытый конфликт, фальсификацию, неправомерное раскрытие и грубое нарушение методики.</w:t>
      </w:r>
    </w:p>
    <w:p>
      <w:pPr>
        <w:widowControl/>
      </w:pPr>
      <w:r>
        <w:rPr>
          <w:rFonts w:ascii="Carlito" w:hAnsi="Carlito"/>
          <w:i w:val="0"/>
        </w:rPr>
        <w:t>Добросовестная научная ошибка, альтернативное мнение или прогноз, не подтвердившийся в неопределённой среде, не должны влечь наказание. Иначе система будет стимулировать осторожные, удобные и бесполезные заключения.</w:t>
      </w:r>
    </w:p>
    <w:p>
      <w:pPr>
        <w:pStyle w:val="Heading2"/>
        <w:keepNext/>
        <w:widowControl/>
      </w:pPr>
      <w:r>
        <w:rPr>
          <w:rFonts w:ascii="Carlito" w:hAnsi="Carlito"/>
        </w:rPr>
        <w:t>9. Право на ответ и защита репутации</w:t>
      </w:r>
    </w:p>
    <w:p>
      <w:pPr>
        <w:widowControl/>
      </w:pPr>
      <w:r>
        <w:rPr>
          <w:rFonts w:ascii="Carlito" w:hAnsi="Carlito"/>
          <w:i w:val="0"/>
        </w:rPr>
        <w:t>Лицо, чьи действия оцениваются, имеет право на сопоставимый публичный ответ, исправление фактической ошибки и указание внешних обстоятельств. Это право не включает удаление критики, запрет особого мнения или требование представить спорную политическую оценку как ложь.</w:t>
      </w:r>
    </w:p>
    <w:p>
      <w:pPr>
        <w:widowControl/>
      </w:pPr>
      <w:r>
        <w:rPr>
          <w:rFonts w:ascii="Carlito" w:hAnsi="Carlito"/>
          <w:i w:val="0"/>
        </w:rPr>
        <w:t>Формулировки официальных документов должны различать установленное нарушение, факт, аналитический вывод и политическое мнение.</w:t>
      </w:r>
    </w:p>
    <w:p>
      <w:pPr>
        <w:pStyle w:val="Heading2"/>
        <w:keepNext/>
        <w:widowControl/>
      </w:pPr>
      <w:r>
        <w:rPr>
          <w:rFonts w:ascii="Carlito" w:hAnsi="Carlito"/>
        </w:rPr>
        <w:t>10. Защита от ответного преследования</w:t>
      </w:r>
    </w:p>
    <w:p>
      <w:pPr>
        <w:widowControl/>
      </w:pPr>
      <w:r>
        <w:rPr>
          <w:rFonts w:ascii="Carlito" w:hAnsi="Carlito"/>
          <w:i w:val="0"/>
        </w:rPr>
        <w:t>Запрещается использовать участие в инициативе, поддержку, жалобу, исследование или критическую оценку для налогового, трудового, социального, контрактного либо правоохранительного неблагоприятного решения. Такие действия образуют самостоятельное нарушение независимо от результата общественного цикла.</w:t>
      </w:r>
    </w:p>
    <w:p>
      <w:pPr>
        <w:pStyle w:val="Heading2"/>
        <w:keepNext/>
        <w:widowControl/>
      </w:pPr>
      <w:r>
        <w:rPr>
          <w:rFonts w:ascii="Carlito" w:hAnsi="Carlito"/>
        </w:rPr>
        <w:t>11. Отсутствие коллективной вины</w:t>
      </w:r>
    </w:p>
    <w:p>
      <w:pPr>
        <w:widowControl/>
      </w:pPr>
      <w:r>
        <w:rPr>
          <w:rFonts w:ascii="Carlito" w:hAnsi="Carlito"/>
          <w:i w:val="0"/>
        </w:rPr>
        <w:t>Ни население территории, ни государственный служащий как группа, ни партия целиком не признаются виновными из факта итоговой оценки. Ответственность индивидуализируется либо относится к конкретному институту в пределах его компетенции.</w:t>
      </w:r>
    </w:p>
    <w:p>
      <w:pPr>
        <w:pStyle w:val="Heading2"/>
        <w:keepNext/>
        <w:widowControl/>
      </w:pPr>
      <w:r>
        <w:rPr>
          <w:rFonts w:ascii="Carlito" w:hAnsi="Carlito"/>
        </w:rPr>
        <w:t>12. Судебные пределы</w:t>
      </w:r>
    </w:p>
    <w:p>
      <w:pPr>
        <w:widowControl/>
      </w:pPr>
      <w:r>
        <w:rPr>
          <w:rFonts w:ascii="Carlito" w:hAnsi="Carlito"/>
          <w:i w:val="0"/>
        </w:rPr>
        <w:t>Суд защищает права, исправляет факты, отменяет незаконный акт и применяет обычную ответственность. Он не присваивает итоговый политический балл, не определяет экономическую стратегию и не лишает граждан права повторно выбрать лицо, если оно сохраняет пассивное избирательное право по общим правилам.</w:t>
      </w:r>
    </w:p>
    <w:p>
      <w:pPr>
        <w:pStyle w:val="Heading2"/>
        <w:keepNext/>
        <w:widowControl/>
      </w:pPr>
      <w:r>
        <w:rPr>
          <w:rFonts w:ascii="Carlito" w:hAnsi="Carlito"/>
        </w:rPr>
        <w:t>13. Архивирование последствий</w:t>
      </w:r>
    </w:p>
    <w:p>
      <w:pPr>
        <w:widowControl/>
      </w:pPr>
      <w:r>
        <w:rPr>
          <w:rFonts w:ascii="Carlito" w:hAnsi="Carlito"/>
          <w:i w:val="0"/>
        </w:rPr>
        <w:t>Все решения о фактических исправлениях, правовой ответственности и парламентском рассмотрении связываются со стабильным идентификатором положения. Снятие обвинения, отмена решения или исправление ошибки отображаются с той же видимостью, что и первоначальная информация.</w:t>
      </w:r>
    </w:p>
    <w:p>
      <w:pPr>
        <w:pStyle w:val="Heading2"/>
        <w:keepNext/>
        <w:widowControl/>
      </w:pPr>
      <w:r>
        <w:rPr>
          <w:rFonts w:ascii="Carlito" w:hAnsi="Carlito"/>
        </w:rPr>
        <w:t>14. Специальные и чрезвычайные случаи</w:t>
      </w:r>
    </w:p>
    <w:p>
      <w:pPr>
        <w:widowControl/>
      </w:pPr>
      <w:r>
        <w:rPr>
          <w:rFonts w:ascii="Carlito" w:hAnsi="Carlito"/>
          <w:i w:val="0"/>
        </w:rPr>
        <w:t>Чрезвычайный режим не приостанавливает запрет политического преследования и не позволяет вводить специальную ответственность задним числом. Ограничения доступа к данным должны быть временными, проверяемыми и минимальными.</w:t>
      </w:r>
    </w:p>
    <w:p>
      <w:pPr>
        <w:pStyle w:val="Heading2"/>
        <w:keepNext/>
        <w:widowControl/>
      </w:pPr>
      <w:r>
        <w:rPr>
          <w:rFonts w:ascii="Carlito" w:hAnsi="Carlito"/>
        </w:rPr>
        <w:t>15. Сильнейшие возражения и встроенные ответы</w:t>
      </w:r>
    </w:p>
    <w:p>
      <w:pPr>
        <w:widowControl/>
      </w:pPr>
      <w:r>
        <w:rPr>
          <w:rFonts w:ascii="Carlito" w:hAnsi="Carlito"/>
          <w:i w:val="0"/>
        </w:rPr>
        <w:t>Возражение о беззубости системы снимается обязательным публичным следом, парламентским рассмотрением, исправлением конкретных нарушений и выборами. Возражение о политическом суде снимается запретом специальных санкций и строгим разделением факта, оценки и права. Риск безответственности исполнителя не устраняется обещанием наказать за любой результат, а точной привязкой обязанностей к компетенции.</w:t>
      </w:r>
    </w:p>
    <w:p>
      <w:pPr>
        <w:widowControl/>
      </w:pPr>
      <w:r>
        <w:t>Публикация оценки осуществляется в стабильное заранее установленное окно, которое нельзя произвольно переносить ближе к выборам. Ответ оцениваемого субъекта публикуется одновременно; единый официальный итоговый рейтинг и ярлык добросовестности запрещены.</w:t>
      </w:r>
    </w:p>
    <w:p>
      <w:pPr>
        <w:widowControl/>
      </w:pPr>
      <w:r>
        <w:t>Процедурные нарушения влекут только исчерпывающие средства исправления и обычную ответственность за самостоятельный состав. Их накопление не ограничивает политические права автоматически.</w:t>
      </w:r>
    </w:p>
    <w:p>
      <w:pPr>
        <w:pStyle w:val="Heading2"/>
        <w:keepNext/>
        <w:widowControl/>
      </w:pPr>
      <w:r>
        <w:rPr>
          <w:rFonts w:ascii="Carlito" w:hAnsi="Carlito"/>
        </w:rPr>
        <w:t>16. Связь с другими главами и вывод</w:t>
      </w:r>
    </w:p>
    <w:p>
      <w:pPr>
        <w:widowControl/>
      </w:pPr>
      <w:r>
        <w:rPr>
          <w:rFonts w:ascii="Carlito" w:hAnsi="Carlito"/>
          <w:i w:val="0"/>
        </w:rPr>
        <w:t>Глава опирается на факты и оценки глав XXV–XXVIII и применяется совместно с обычным конституционным, административным, финансовым, уголовным и избирательным правом. Она не создаёт отдельной карательной системы.</w:t>
      </w:r>
    </w:p>
    <w:p>
      <w:pPr>
        <w:pStyle w:val="DoctrineQuote"/>
        <w:widowControl/>
      </w:pPr>
      <w:r>
        <w:rPr>
          <w:rFonts w:ascii="Carlito" w:hAnsi="Carlito"/>
          <w:i w:val="0"/>
        </w:rPr>
        <w:t>Ответственность должна делать публичную власть объяснимой и проверяемой, а не превращать политическое разногласие в правонарушение.</w:t>
      </w:r>
    </w:p>
    <w:p>
      <w:pPr>
        <w:widowControl/>
      </w:pPr>
      <w:r>
        <w:rPr>
          <w:rFonts w:ascii="Carlito" w:hAnsi="Carlito"/>
        </w:rPr>
        <w:br w:type="page"/>
      </w:r>
    </w:p>
    <w:p>
      <w:pPr>
        <w:pStyle w:val="Heading1"/>
        <w:keepNext/>
        <w:pageBreakBefore/>
        <w:spacing w:before="0" w:after="160"/>
        <w:widowControl/>
        <w:pBdr>
          <w:bottom w:val="single" w:sz="5" w:space="4" w:color="B4C6E7"/>
        </w:pBdr>
      </w:pPr>
      <w:r>
        <w:rPr>
          <w:rFonts w:ascii="Carlito" w:hAnsi="Carlito"/>
        </w:rPr>
        <w:t>Глава XXX. Новый цикл общественного поручения и институциональная память</w:t>
      </w:r>
    </w:p>
    <w:p>
      <w:pPr>
        <w:pStyle w:val="Heading2"/>
        <w:keepNext/>
        <w:widowControl/>
      </w:pPr>
      <w:r>
        <w:rPr>
          <w:rFonts w:ascii="Carlito" w:hAnsi="Carlito"/>
        </w:rPr>
        <w:t>1. Предмет и цель главы</w:t>
      </w:r>
    </w:p>
    <w:p>
      <w:pPr>
        <w:widowControl/>
      </w:pPr>
      <w:r>
        <w:rPr>
          <w:rFonts w:ascii="Carlito" w:hAnsi="Carlito"/>
          <w:i w:val="0"/>
        </w:rPr>
        <w:t>Настоящая глава устанавливает завершение цикла, передачу документов и знаний, судьбу продолжающихся правовых и административных процессов и начало нового самостоятельного цикла.</w:t>
      </w:r>
    </w:p>
    <w:p>
      <w:pPr>
        <w:pStyle w:val="DoctrineQuote"/>
        <w:widowControl/>
      </w:pPr>
      <w:r>
        <w:rPr>
          <w:rFonts w:ascii="Carlito" w:hAnsi="Carlito"/>
          <w:i w:val="0"/>
        </w:rPr>
        <w:t>Институциональная память сохраняет факты, данные, права и уроки. Она не переносит автоматически политические позиции на новых граждан, кандидатов и избранные органы.</w:t>
      </w:r>
    </w:p>
    <w:p>
      <w:pPr>
        <w:pStyle w:val="Heading2"/>
        <w:keepNext/>
        <w:widowControl/>
      </w:pPr>
      <w:r>
        <w:rPr>
          <w:rFonts w:ascii="Carlito" w:hAnsi="Carlito"/>
        </w:rPr>
        <w:t>2. Четыре формы преемственности</w:t>
      </w:r>
    </w:p>
    <w:p>
      <w:pPr>
        <w:widowControl/>
        <w:ind w:left="369" w:hanging="369"/>
      </w:pPr>
      <w:r>
        <w:rPr>
          <w:rFonts w:ascii="Carlito" w:hAnsi="Carlito"/>
          <w:b/>
        </w:rPr>
        <w:t xml:space="preserve">1. </w:t>
      </w:r>
      <w:r>
        <w:rPr>
          <w:rFonts w:ascii="Carlito" w:hAnsi="Carlito"/>
        </w:rPr>
        <w:t>информационная — сохранение данных, методик, документов, кода, решений и ошибок;</w:t>
      </w:r>
    </w:p>
    <w:p>
      <w:pPr>
        <w:widowControl/>
        <w:ind w:left="369" w:hanging="369"/>
      </w:pPr>
      <w:r>
        <w:rPr>
          <w:rFonts w:ascii="Carlito" w:hAnsi="Carlito"/>
          <w:b/>
        </w:rPr>
        <w:t xml:space="preserve">2. </w:t>
      </w:r>
      <w:r>
        <w:rPr>
          <w:rFonts w:ascii="Carlito" w:hAnsi="Carlito"/>
        </w:rPr>
        <w:t>правовая — продолжение действующих законов, судебных актов, прав и обязательств государства;</w:t>
      </w:r>
    </w:p>
    <w:p>
      <w:pPr>
        <w:widowControl/>
        <w:ind w:left="369" w:hanging="369"/>
      </w:pPr>
      <w:r>
        <w:rPr>
          <w:rFonts w:ascii="Carlito" w:hAnsi="Carlito"/>
          <w:b/>
        </w:rPr>
        <w:t xml:space="preserve">3. </w:t>
      </w:r>
      <w:r>
        <w:rPr>
          <w:rFonts w:ascii="Carlito" w:hAnsi="Carlito"/>
        </w:rPr>
        <w:t>административная — непрерывность услуг, договоров, программ, имущества и функций;</w:t>
      </w:r>
    </w:p>
    <w:p>
      <w:pPr>
        <w:widowControl/>
        <w:ind w:left="369" w:hanging="369"/>
      </w:pPr>
      <w:r>
        <w:rPr>
          <w:rFonts w:ascii="Carlito" w:hAnsi="Carlito"/>
          <w:b/>
        </w:rPr>
        <w:t xml:space="preserve">4. </w:t>
      </w:r>
      <w:r>
        <w:rPr>
          <w:rFonts w:ascii="Carlito" w:hAnsi="Carlito"/>
        </w:rPr>
        <w:t>политическая — новое принятие цели гражданами, кандидатами, партиями или новой властью.</w:t>
      </w:r>
    </w:p>
    <w:p>
      <w:pPr>
        <w:widowControl/>
      </w:pPr>
      <w:r>
        <w:rPr>
          <w:rFonts w:ascii="Carlito" w:hAnsi="Carlito"/>
          <w:i w:val="0"/>
        </w:rPr>
        <w:t>Первые три формы могут продолжаться в силу права и необходимости государственного управления. Политическая преемственность требует нового легитимного решения и не предполагается по умолчанию.</w:t>
      </w:r>
    </w:p>
    <w:p>
      <w:pPr>
        <w:pStyle w:val="Heading2"/>
        <w:keepNext/>
        <w:widowControl/>
      </w:pPr>
      <w:r>
        <w:rPr>
          <w:rFonts w:ascii="Carlito" w:hAnsi="Carlito"/>
        </w:rPr>
        <w:t>3. Самостоятельность нового цикла</w:t>
      </w:r>
    </w:p>
    <w:p>
      <w:pPr>
        <w:widowControl/>
      </w:pPr>
      <w:r>
        <w:rPr>
          <w:rFonts w:ascii="Carlito" w:hAnsi="Carlito"/>
          <w:i w:val="0"/>
        </w:rPr>
        <w:t>Новый цикл имеет собственные даты, состав участников, инициативы, экспертизы, голосование, декларации и реестр. Он учитывает архив, но не является новой версией прежнего общественного мандата.</w:t>
      </w:r>
    </w:p>
    <w:p>
      <w:pPr>
        <w:widowControl/>
      </w:pPr>
      <w:r>
        <w:rPr>
          <w:rFonts w:ascii="Carlito" w:hAnsi="Carlito"/>
          <w:i w:val="0"/>
        </w:rPr>
        <w:t>Поддержка, собранная в прошлом цикле, не накапливается бессрочно. Прежняя инициатива может быть повторно выдвинута с указанием истории, но проходит актуальные пороги, проверку права, экспертизу и общественное решение.</w:t>
      </w:r>
    </w:p>
    <w:p>
      <w:pPr>
        <w:pStyle w:val="Heading2"/>
        <w:keepNext/>
        <w:widowControl/>
      </w:pPr>
      <w:r>
        <w:rPr>
          <w:rFonts w:ascii="Carlito" w:hAnsi="Carlito"/>
        </w:rPr>
        <w:t>4. Закрытие предыдущего цикла</w:t>
      </w:r>
    </w:p>
    <w:p>
      <w:pPr>
        <w:pStyle w:val="ListBullet"/>
        <w:widowControl/>
      </w:pPr>
      <w:r>
        <w:rPr>
          <w:rFonts w:ascii="Carlito" w:hAnsi="Carlito"/>
        </w:rPr>
        <w:t>публикация итоговой оценки и ответов;</w:t>
      </w:r>
    </w:p>
    <w:p>
      <w:pPr>
        <w:pStyle w:val="ListBullet"/>
        <w:widowControl/>
      </w:pPr>
      <w:r>
        <w:rPr>
          <w:rFonts w:ascii="Carlito" w:hAnsi="Carlito"/>
        </w:rPr>
        <w:t>фиксация статуса каждого положения на дату завершения;</w:t>
      </w:r>
    </w:p>
    <w:p>
      <w:pPr>
        <w:pStyle w:val="ListBullet"/>
        <w:widowControl/>
      </w:pPr>
      <w:r>
        <w:rPr>
          <w:rFonts w:ascii="Carlito" w:hAnsi="Carlito"/>
        </w:rPr>
        <w:t>передача открытых данных, методик и технической документации в архив;</w:t>
      </w:r>
    </w:p>
    <w:p>
      <w:pPr>
        <w:pStyle w:val="ListBullet"/>
        <w:widowControl/>
      </w:pPr>
      <w:r>
        <w:rPr>
          <w:rFonts w:ascii="Carlito" w:hAnsi="Carlito"/>
        </w:rPr>
        <w:t>формирование перечня продолжающихся законов, программ, договоров и судебных процессов;</w:t>
      </w:r>
    </w:p>
    <w:p>
      <w:pPr>
        <w:pStyle w:val="ListBullet"/>
        <w:widowControl/>
      </w:pPr>
      <w:r>
        <w:rPr>
          <w:rFonts w:ascii="Carlito" w:hAnsi="Carlito"/>
        </w:rPr>
        <w:t>удаление либо обезличивание данных политического участия по установленным срокам;</w:t>
      </w:r>
    </w:p>
    <w:p>
      <w:pPr>
        <w:pStyle w:val="ListBullet"/>
        <w:widowControl/>
      </w:pPr>
      <w:r>
        <w:rPr>
          <w:rFonts w:ascii="Carlito" w:hAnsi="Carlito"/>
        </w:rPr>
        <w:t>проверка полноты версий, резервов и независимости от поставщика;</w:t>
      </w:r>
    </w:p>
    <w:p>
      <w:pPr>
        <w:pStyle w:val="ListBullet"/>
        <w:widowControl/>
      </w:pPr>
      <w:r>
        <w:rPr>
          <w:rFonts w:ascii="Carlito" w:hAnsi="Carlito"/>
        </w:rPr>
        <w:t>публикация переходного пакета для новой власти и граждан.</w:t>
      </w:r>
    </w:p>
    <w:p>
      <w:pPr>
        <w:pStyle w:val="Heading2"/>
        <w:keepNext/>
        <w:widowControl/>
      </w:pPr>
      <w:r>
        <w:rPr>
          <w:rFonts w:ascii="Carlito" w:hAnsi="Carlito"/>
        </w:rPr>
        <w:t>5. Пересечение циклов</w:t>
      </w:r>
    </w:p>
    <w:p>
      <w:pPr>
        <w:widowControl/>
      </w:pPr>
      <w:r>
        <w:rPr>
          <w:rFonts w:ascii="Carlito" w:hAnsi="Carlito"/>
          <w:i w:val="0"/>
        </w:rPr>
        <w:t>Если новый цикл начинается до завершения итоговой оценки, процессы разделяются технически и организационно. Незавершённый отчёт не должен давать действующей власти возможность влиять на формирование нового мандата, а новый оператор не вправе переписывать данные прошлого цикла.</w:t>
      </w:r>
    </w:p>
    <w:p>
      <w:pPr>
        <w:widowControl/>
      </w:pPr>
      <w:r>
        <w:rPr>
          <w:rFonts w:ascii="Carlito" w:hAnsi="Carlito"/>
          <w:i w:val="0"/>
        </w:rPr>
        <w:t>Национальная адаптация устанавливает нейтральные сроки и разделённые команды доступа.</w:t>
      </w:r>
    </w:p>
    <w:p>
      <w:pPr>
        <w:pStyle w:val="Heading2"/>
        <w:keepNext/>
        <w:widowControl/>
      </w:pPr>
      <w:r>
        <w:rPr>
          <w:rFonts w:ascii="Carlito" w:hAnsi="Carlito"/>
        </w:rPr>
        <w:t>6. Судьба политических позиций</w:t>
      </w:r>
    </w:p>
    <w:p>
      <w:pPr>
        <w:widowControl/>
      </w:pPr>
      <w:r>
        <w:rPr>
          <w:rFonts w:ascii="Carlito" w:hAnsi="Carlito"/>
          <w:i w:val="0"/>
        </w:rPr>
        <w:t>Принятые победителем положения прекращают статус его предвыборной позиции с окончанием соответствующего политического периода, если новый субъект не примет их заново. Их история остаётся доступной как факт.</w:t>
      </w:r>
    </w:p>
    <w:p>
      <w:pPr>
        <w:widowControl/>
      </w:pPr>
      <w:r>
        <w:rPr>
          <w:rFonts w:ascii="Carlito" w:hAnsi="Carlito"/>
          <w:i w:val="0"/>
        </w:rPr>
        <w:t>Незавершённость не создаёт преимущества перед новыми инициативами и не превращает прежний пункт в наследуемое поручение.</w:t>
      </w:r>
    </w:p>
    <w:p>
      <w:pPr>
        <w:pStyle w:val="Heading2"/>
        <w:keepNext/>
        <w:widowControl/>
      </w:pPr>
      <w:r>
        <w:rPr>
          <w:rFonts w:ascii="Carlito" w:hAnsi="Carlito"/>
        </w:rPr>
        <w:t>7. Правовая и административная непрерывность</w:t>
      </w:r>
    </w:p>
    <w:p>
      <w:pPr>
        <w:widowControl/>
      </w:pPr>
      <w:r>
        <w:rPr>
          <w:rFonts w:ascii="Carlito" w:hAnsi="Carlito"/>
          <w:i w:val="0"/>
        </w:rPr>
        <w:t>Законы, бюджетные обязательства, договоры, права граждан, судебные решения и созданные учреждения продолжают действовать либо изменяются по обычному праву. Новый политический цикл сам по себе их не отменяет и не продлевает.</w:t>
      </w:r>
    </w:p>
    <w:p>
      <w:pPr>
        <w:widowControl/>
      </w:pPr>
      <w:r>
        <w:rPr>
          <w:rFonts w:ascii="Carlito" w:hAnsi="Carlito"/>
          <w:i w:val="0"/>
        </w:rPr>
        <w:t>Переходный пакет различает: что продолжает действовать юридически; что требует нового политического решения; что должно быть завершено технически; что прекращено; какие риски и расходы наследуются государством.</w:t>
      </w:r>
    </w:p>
    <w:p>
      <w:pPr>
        <w:pStyle w:val="Heading2"/>
        <w:keepNext/>
        <w:widowControl/>
      </w:pPr>
      <w:r>
        <w:rPr>
          <w:rFonts w:ascii="Carlito" w:hAnsi="Carlito"/>
        </w:rPr>
        <w:t>8. Переходный пакет</w:t>
      </w:r>
    </w:p>
    <w:p>
      <w:pPr>
        <w:pStyle w:val="ListBullet"/>
        <w:widowControl/>
      </w:pPr>
      <w:r>
        <w:rPr>
          <w:rFonts w:ascii="Carlito" w:hAnsi="Carlito"/>
        </w:rPr>
        <w:t>актуальный реестр и все стабильные идентификаторы;</w:t>
      </w:r>
    </w:p>
    <w:p>
      <w:pPr>
        <w:pStyle w:val="ListBullet"/>
        <w:widowControl/>
      </w:pPr>
      <w:r>
        <w:rPr>
          <w:rFonts w:ascii="Carlito" w:hAnsi="Carlito"/>
        </w:rPr>
        <w:t>планы, история изменений и критические зависимости;</w:t>
      </w:r>
    </w:p>
    <w:p>
      <w:pPr>
        <w:pStyle w:val="ListBullet"/>
        <w:widowControl/>
      </w:pPr>
      <w:r>
        <w:rPr>
          <w:rFonts w:ascii="Carlito" w:hAnsi="Carlito"/>
        </w:rPr>
        <w:t>две исходные базы и методики показателей;</w:t>
      </w:r>
    </w:p>
    <w:p>
      <w:pPr>
        <w:pStyle w:val="ListBullet"/>
        <w:widowControl/>
      </w:pPr>
      <w:r>
        <w:rPr>
          <w:rFonts w:ascii="Carlito" w:hAnsi="Carlito"/>
        </w:rPr>
        <w:t>открытые и закрытые наборы данных с режимами доступа;</w:t>
      </w:r>
    </w:p>
    <w:p>
      <w:pPr>
        <w:pStyle w:val="ListBullet"/>
        <w:widowControl/>
      </w:pPr>
      <w:r>
        <w:rPr>
          <w:rFonts w:ascii="Carlito" w:hAnsi="Carlito"/>
        </w:rPr>
        <w:t>неисполненные судебные, договорные и финансовые обязательства;</w:t>
      </w:r>
    </w:p>
    <w:p>
      <w:pPr>
        <w:pStyle w:val="ListBullet"/>
        <w:widowControl/>
      </w:pPr>
      <w:r>
        <w:rPr>
          <w:rFonts w:ascii="Carlito" w:hAnsi="Carlito"/>
        </w:rPr>
        <w:t>техническая документация, код, ключи, резервные копии и план смены поставщика;</w:t>
      </w:r>
    </w:p>
    <w:p>
      <w:pPr>
        <w:pStyle w:val="ListBullet"/>
        <w:widowControl/>
      </w:pPr>
      <w:r>
        <w:rPr>
          <w:rFonts w:ascii="Carlito" w:hAnsi="Carlito"/>
        </w:rPr>
        <w:t>реестр рисков, инцидентов и незавершённых расследований;</w:t>
      </w:r>
    </w:p>
    <w:p>
      <w:pPr>
        <w:pStyle w:val="ListBullet"/>
        <w:widowControl/>
      </w:pPr>
      <w:r>
        <w:rPr>
          <w:rFonts w:ascii="Carlito" w:hAnsi="Carlito"/>
        </w:rPr>
        <w:t>список данных, подлежащих уничтожению или обезличиванию;</w:t>
      </w:r>
    </w:p>
    <w:p>
      <w:pPr>
        <w:pStyle w:val="ListBullet"/>
        <w:widowControl/>
      </w:pPr>
      <w:r>
        <w:rPr>
          <w:rFonts w:ascii="Carlito" w:hAnsi="Carlito"/>
        </w:rPr>
        <w:t>публичное объяснение того, какие политические позиции не переносятся автоматически.</w:t>
      </w:r>
    </w:p>
    <w:p>
      <w:pPr>
        <w:pStyle w:val="Heading2"/>
        <w:keepNext/>
        <w:widowControl/>
      </w:pPr>
      <w:r>
        <w:rPr>
          <w:rFonts w:ascii="Carlito" w:hAnsi="Carlito"/>
        </w:rPr>
        <w:t>9. Неизменяемый архив и исправление ошибок</w:t>
      </w:r>
    </w:p>
    <w:p>
      <w:pPr>
        <w:widowControl/>
      </w:pPr>
      <w:r>
        <w:rPr>
          <w:rFonts w:ascii="Carlito" w:hAnsi="Carlito"/>
          <w:i w:val="0"/>
        </w:rPr>
        <w:t>Первичные документы, результаты голосования, декларации, планы, данные, оценки и особые мнения сохраняются в неизменяемом виде. Ошибка исправляется новой связанной записью, а не удалением прежней.</w:t>
      </w:r>
    </w:p>
    <w:p>
      <w:pPr>
        <w:widowControl/>
      </w:pPr>
      <w:r>
        <w:rPr>
          <w:rFonts w:ascii="Carlito" w:hAnsi="Carlito"/>
          <w:i w:val="0"/>
        </w:rPr>
        <w:t>Архив хранит контекст: дату, действовавшую норму, методику, доступную информацию и уровень неопределённости. Позднее знание не используется для переписывания того, что участникам было известно в момент решения.</w:t>
      </w:r>
    </w:p>
    <w:p>
      <w:pPr>
        <w:pStyle w:val="Heading2"/>
        <w:keepNext/>
        <w:widowControl/>
      </w:pPr>
      <w:r>
        <w:rPr>
          <w:rFonts w:ascii="Carlito" w:hAnsi="Carlito"/>
        </w:rPr>
        <w:t>10. Плюралистическая институциональная память</w:t>
      </w:r>
    </w:p>
    <w:p>
      <w:pPr>
        <w:widowControl/>
      </w:pPr>
      <w:r>
        <w:rPr>
          <w:rFonts w:ascii="Carlito" w:hAnsi="Carlito"/>
          <w:i w:val="0"/>
        </w:rPr>
        <w:t>Архив не является официальной историей победителя. Он сохраняет позиции власти, оппозиции, регионов, гражданских групп, экспертов и особые мнения в сопоставимом формате. Государство гарантирует доступность материалов, но не утверждает единственно правильную интерпретацию политического периода.</w:t>
      </w:r>
    </w:p>
    <w:p>
      <w:pPr>
        <w:pStyle w:val="Heading2"/>
        <w:keepNext/>
        <w:widowControl/>
      </w:pPr>
      <w:r>
        <w:rPr>
          <w:rFonts w:ascii="Carlito" w:hAnsi="Carlito"/>
        </w:rPr>
        <w:t>11. Распределение архивных функций</w:t>
      </w:r>
    </w:p>
    <w:p>
      <w:pPr>
        <w:widowControl/>
      </w:pPr>
      <w:r>
        <w:rPr>
          <w:rFonts w:ascii="Carlito" w:hAnsi="Carlito"/>
          <w:i w:val="0"/>
        </w:rPr>
        <w:t>Долгосрочное хранение осуществляет существующий государственный или иной законный архив; режим персональных данных контролирует независимый орган защиты данных; целостность проверяет аудитор; законность ограничений доступа — суд. Один институт не должен одновременно хранить, толковать, ограничивать доступ и оценивать политическое содержание.</w:t>
      </w:r>
    </w:p>
    <w:p>
      <w:pPr>
        <w:pStyle w:val="Heading2"/>
        <w:keepNext/>
        <w:widowControl/>
      </w:pPr>
      <w:r>
        <w:rPr>
          <w:rFonts w:ascii="Carlito" w:hAnsi="Carlito"/>
        </w:rPr>
        <w:t>12. Сроки хранения и уничтожение данных</w:t>
      </w:r>
    </w:p>
    <w:p>
      <w:pPr>
        <w:widowControl/>
      </w:pPr>
      <w:r>
        <w:rPr>
          <w:rFonts w:ascii="Carlito" w:hAnsi="Carlito"/>
          <w:i w:val="0"/>
        </w:rPr>
        <w:t>Документы публичной власти и агрегированные данные могут храниться долговременно. Индивидуальные технические следы участия, идентификационные журналы, временные ключи и иные связывающие данные уничтожаются либо необратимо обезличиваются по заранее установленному сроку.</w:t>
      </w:r>
    </w:p>
    <w:p>
      <w:pPr>
        <w:widowControl/>
      </w:pPr>
      <w:r>
        <w:rPr>
          <w:rFonts w:ascii="Carlito" w:hAnsi="Carlito"/>
          <w:i w:val="0"/>
        </w:rPr>
        <w:t>Продление хранения возможно только по конкретному судебному основанию и не должно создавать постоянный политический профиль. Резервные копии включаются в доказуемую процедуру уничтожения.</w:t>
      </w:r>
    </w:p>
    <w:p>
      <w:pPr>
        <w:pStyle w:val="Heading2"/>
        <w:keepNext/>
        <w:widowControl/>
      </w:pPr>
      <w:r>
        <w:rPr>
          <w:rFonts w:ascii="Carlito" w:hAnsi="Carlito"/>
        </w:rPr>
        <w:t>13. Техническая непрерывность и независимость от поставщика</w:t>
      </w:r>
    </w:p>
    <w:p>
      <w:pPr>
        <w:widowControl/>
      </w:pPr>
      <w:r>
        <w:rPr>
          <w:rFonts w:ascii="Carlito" w:hAnsi="Carlito"/>
          <w:i w:val="0"/>
        </w:rPr>
        <w:t>Форматы, спецификации, код критических компонентов, документация и ключевые процедуры должны позволять сменить поставщика и воспроизвести архив. Зависимость от одного поставщика не признаётся допустимым основанием утраты данных или продолжения небезопасного решения.</w:t>
      </w:r>
    </w:p>
    <w:p>
      <w:pPr>
        <w:widowControl/>
      </w:pPr>
      <w:r>
        <w:rPr>
          <w:rFonts w:ascii="Carlito" w:hAnsi="Carlito"/>
          <w:i w:val="0"/>
        </w:rPr>
        <w:t>Перед переходом проводится контрольная независимая сборка и восстановление из резервной копии.</w:t>
      </w:r>
    </w:p>
    <w:p>
      <w:pPr>
        <w:pStyle w:val="Heading2"/>
        <w:keepNext/>
        <w:widowControl/>
      </w:pPr>
      <w:r>
        <w:rPr>
          <w:rFonts w:ascii="Carlito" w:hAnsi="Carlito"/>
        </w:rPr>
        <w:t>14. Повторное использование материалов</w:t>
      </w:r>
    </w:p>
    <w:p>
      <w:pPr>
        <w:widowControl/>
      </w:pPr>
      <w:r>
        <w:rPr>
          <w:rFonts w:ascii="Carlito" w:hAnsi="Carlito"/>
          <w:i w:val="0"/>
        </w:rPr>
        <w:t>Новый инициатор может ссылаться на прежнюю экспертизу, данные и обсуждение. Система маркирует дату и проверяет актуальность. Старое заключение не получает презумпции истины, а прежние подписи и голоса не переносятся.</w:t>
      </w:r>
    </w:p>
    <w:p>
      <w:pPr>
        <w:widowControl/>
      </w:pPr>
      <w:r>
        <w:rPr>
          <w:rFonts w:ascii="Carlito" w:hAnsi="Carlito"/>
          <w:i w:val="0"/>
        </w:rPr>
        <w:t>Повторное использование снижает стоимость, но не лишает новых граждан права изменить повестку.</w:t>
      </w:r>
    </w:p>
    <w:p>
      <w:pPr>
        <w:pStyle w:val="Heading2"/>
        <w:keepNext/>
        <w:widowControl/>
      </w:pPr>
      <w:r>
        <w:rPr>
          <w:rFonts w:ascii="Carlito" w:hAnsi="Carlito"/>
        </w:rPr>
        <w:t>15. Смена правительства и коалиционный переход</w:t>
      </w:r>
    </w:p>
    <w:p>
      <w:pPr>
        <w:widowControl/>
      </w:pPr>
      <w:r>
        <w:rPr>
          <w:rFonts w:ascii="Carlito" w:hAnsi="Carlito"/>
          <w:i w:val="0"/>
        </w:rPr>
        <w:t>Новая исполнительная власть публикует, какие продолжающиеся правовые и административные процессы она принимает, изменяет или прекращает в пределах компетенции. Она не обязана подтверждать политические позиции предшественника, но обязана соблюдать право, договоры, судебные решения, права граждан и правила публичного изменения курса.</w:t>
      </w:r>
    </w:p>
    <w:p>
      <w:pPr>
        <w:widowControl/>
      </w:pPr>
      <w:r>
        <w:rPr>
          <w:rFonts w:ascii="Carlito" w:hAnsi="Carlito"/>
          <w:i w:val="0"/>
        </w:rPr>
        <w:t>В парламентской системе переход учитывает коалиционное соглашение: оно раскрывает отношение к положениям общественного мандата, но не превращает позицию отдельной партии в обязательство всей коалиции без её нового публичного решения.</w:t>
      </w:r>
    </w:p>
    <w:p>
      <w:pPr>
        <w:pStyle w:val="Heading2"/>
        <w:keepNext/>
        <w:widowControl/>
      </w:pPr>
      <w:r>
        <w:rPr>
          <w:rFonts w:ascii="Carlito" w:hAnsi="Carlito"/>
        </w:rPr>
        <w:t>16. Незавершённые проверки и споры</w:t>
      </w:r>
    </w:p>
    <w:p>
      <w:pPr>
        <w:widowControl/>
      </w:pPr>
      <w:r>
        <w:rPr>
          <w:rFonts w:ascii="Carlito" w:hAnsi="Carlito"/>
          <w:i w:val="0"/>
        </w:rPr>
        <w:t>Судебные дела, аудит, расследование инцидента и исправление данных не прекращаются из-за смены власти. Их процессуальный субъект определяется обычным правопреемством. Политическая оценка прошлого не передаётся новому субъекту как вина.</w:t>
      </w:r>
    </w:p>
    <w:p>
      <w:pPr>
        <w:pStyle w:val="Heading2"/>
        <w:keepNext/>
        <w:widowControl/>
      </w:pPr>
      <w:r>
        <w:rPr>
          <w:rFonts w:ascii="Carlito" w:hAnsi="Carlito"/>
        </w:rPr>
        <w:t>17. Контроль, обжалование и ответственность</w:t>
      </w:r>
    </w:p>
    <w:p>
      <w:pPr>
        <w:widowControl/>
      </w:pPr>
      <w:r>
        <w:rPr>
          <w:rFonts w:ascii="Carlito" w:hAnsi="Carlito"/>
          <w:i w:val="0"/>
        </w:rPr>
        <w:t>Обжалованию подлежат удаление первичного документа, незаконное ограничение доступа, несоблюдение срока уничтожения, передача неполного переходного пакета, искажение статуса продолжающегося обязательства и повторное использование персональных данных.</w:t>
      </w:r>
    </w:p>
    <w:p>
      <w:pPr>
        <w:widowControl/>
      </w:pPr>
      <w:r>
        <w:rPr>
          <w:rFonts w:ascii="Carlito" w:hAnsi="Carlito"/>
          <w:i w:val="0"/>
        </w:rPr>
        <w:t>Ответственность наступает за фальсификацию архива, незаконное уничтожение, сокрытие, повторную идентификацию, нарушение правопреемства и умышленную техническую зависимость, препятствующую передаче системы.</w:t>
      </w:r>
    </w:p>
    <w:p>
      <w:pPr>
        <w:pStyle w:val="Heading2"/>
        <w:keepNext/>
        <w:widowControl/>
      </w:pPr>
      <w:r>
        <w:rPr>
          <w:rFonts w:ascii="Carlito" w:hAnsi="Carlito"/>
        </w:rPr>
        <w:t>18. Сильнейшие возражения и встроенные ответы</w:t>
      </w:r>
    </w:p>
    <w:p>
      <w:pPr>
        <w:widowControl/>
      </w:pPr>
      <w:r>
        <w:rPr>
          <w:rFonts w:ascii="Carlito" w:hAnsi="Carlito"/>
          <w:i w:val="0"/>
        </w:rPr>
        <w:t>Опасность наследуемой догмы устраняется самостоятельностью нового цикла. Риск государственного забвения снимается правовой, административной и информационной преемственностью. Риск официальной истории ограничивается сохранением особых мнений и распределением архивных функций. Риск политического профиля ограничивается уничтожением связывающих данных.</w:t>
      </w:r>
    </w:p>
    <w:p>
      <w:pPr>
        <w:widowControl/>
      </w:pPr>
      <w:r>
        <w:t>Архивные наборы периодически переоцениваются с учётом новых методов повторной идентификации и появления внешних реестров. Ненужные микроданные уничтожаются, безопасные агрегаты мигрируют в более защищённую форму, а хранение «на всякий случай» запрещено.</w:t>
      </w:r>
    </w:p>
    <w:p>
      <w:pPr>
        <w:widowControl/>
      </w:pPr>
      <w:r>
        <w:t>Публичная статистика дополняется закрытым независимым аудитом равенства, который не экспортирует строковые данные и не создаёт историю политического участия конкретных лиц.</w:t>
      </w:r>
    </w:p>
    <w:p>
      <w:pPr>
        <w:pStyle w:val="Heading2"/>
        <w:keepNext/>
        <w:widowControl/>
      </w:pPr>
      <w:r>
        <w:rPr>
          <w:rFonts w:ascii="Carlito" w:hAnsi="Carlito"/>
        </w:rPr>
        <w:t>19. Связь с другими главами и вывод</w:t>
      </w:r>
    </w:p>
    <w:p>
      <w:pPr>
        <w:widowControl/>
      </w:pPr>
      <w:r>
        <w:rPr>
          <w:rFonts w:ascii="Carlito" w:hAnsi="Carlito"/>
          <w:i w:val="0"/>
        </w:rPr>
        <w:t>Глава завершает цикл глав XXIV–XXIX и создаёт переход к пилотированию, правовому закреплению и гарантиям частей VI–VII. Её архивные правила применяются совместно с главами XXXI, XXXII, XXXVI и XXXVII.</w:t>
      </w:r>
    </w:p>
    <w:p>
      <w:pPr>
        <w:pStyle w:val="DoctrineQuote"/>
        <w:widowControl/>
      </w:pPr>
      <w:r>
        <w:rPr>
          <w:rFonts w:ascii="Carlito" w:hAnsi="Carlito"/>
          <w:i w:val="0"/>
        </w:rPr>
        <w:t>Новое поколение граждан должно получить память о прошлом, но не обязанность повторить его политический выбор.</w:t>
      </w:r>
    </w:p>
    <w:p>
      <w:pPr>
        <w:widowControl/>
      </w:pPr>
      <w:r>
        <w:rPr>
          <w:rFonts w:ascii="Carlito" w:hAnsi="Carlito"/>
        </w:rPr>
        <w:br w:type="page"/>
      </w:r>
    </w:p>
    <w:p>
      <w:pPr>
        <w:pStyle w:val="Heading1"/>
        <w:keepNext/>
        <w:keepLines/>
        <w:pageBreakBefore/>
        <w:widowControl/>
        <w:spacing w:before="0" w:after="160"/>
        <w:pBdr>
          <w:bottom w:val="single" w:sz="5" w:space="4" w:color="B4C6E7"/>
        </w:pBdr>
      </w:pPr>
      <w:r>
        <w:rPr>
          <w:rFonts w:ascii="Carlito" w:hAnsi="Carlito" w:eastAsia="Carlito"/>
        </w:rPr>
        <w:t xml:space="preserve">Глава XXXI. Пилотирование, экспериментальная апробация и поэтапное внедрение Доктрины</w:t>
      </w:r>
    </w:p>
    <w:p>
      <w:pPr>
        <w:pStyle w:val="BlockText"/>
        <w:widowControl/>
        <w:spacing w:line="259" w:lineRule="auto" w:after="90"/>
        <w:ind w:firstLine="360"/>
      </w:pPr>
      <w:r>
        <w:rPr>
          <w:rFonts w:ascii="Carlito" w:hAnsi="Carlito" w:eastAsia="Carlito"/>
          <w:b/>
          <w:bCs/>
        </w:rPr>
        <w:t xml:space="preserve">Право на эксперимент не означает право экспериментировать над конституционными гарантиями. Пилот проверяет процедуру, её полезность и безопасность; он не создаёт презумпции дальнейшего внедрения.</w:t>
      </w:r>
    </w:p>
    <w:bookmarkStart w:id="27" w:name="предмет-и-цель-главы"/>
    <w:p>
      <w:pPr>
        <w:pStyle w:val="Heading2"/>
        <w:keepNext/>
        <w:keepLines/>
        <w:widowControl/>
        <w:spacing w:before="160" w:after="100"/>
      </w:pPr>
      <w:r>
        <w:rPr>
          <w:rFonts w:ascii="Carlito" w:hAnsi="Carlito" w:eastAsia="Carlito"/>
        </w:rPr>
        <w:t xml:space="preserve">1. Предмет и цель главы</w:t>
      </w:r>
    </w:p>
    <w:p>
      <w:pPr>
        <w:pStyle w:val="FirstParagraph"/>
        <w:widowControl/>
        <w:spacing w:line="259" w:lineRule="auto" w:after="90"/>
        <w:ind w:firstLine="360"/>
      </w:pPr>
      <w:r>
        <w:rPr>
          <w:rFonts w:ascii="Carlito" w:hAnsi="Carlito" w:eastAsia="Carlito"/>
        </w:rPr>
        <w:t xml:space="preserve">Настоящая глава устанавливает обязательный порядок проверки Доктрины до её расширения по территории, числу участников, предмету или юридическому эффекту. Цель пилотирования — получить проверяемые данные о дополнительной общественной ценности, административной исполнимости, стоимости, равенстве участия, устойчивости к злоупотреблениям и цифровой безопасности модели по сравнению с более простыми существующими инструментами.</w:t>
      </w:r>
    </w:p>
    <w:p>
      <w:pPr>
        <w:pStyle w:val="BodyText"/>
        <w:widowControl/>
      </w:pPr>
      <w:r>
        <w:rPr>
          <w:rFonts w:ascii="Carlito" w:hAnsi="Carlito" w:eastAsia="Carlito"/>
        </w:rPr>
        <w:t xml:space="preserve">Пилот не является облегчённым способом ввести постоянный институт. Он представляет собой срочный, ограниченный и обратимый правовой режим с заранее установленными основаниями запуска, остановки и запретом молчаливого продолжения.</w:t>
      </w:r>
    </w:p>
    <w:bookmarkEnd w:id="27"/>
    <w:bookmarkStart w:id="28" w:name="ключевой-принцип"/>
    <w:p>
      <w:pPr>
        <w:pStyle w:val="Heading2"/>
        <w:keepNext/>
        <w:keepLines/>
        <w:widowControl/>
        <w:spacing w:before="160" w:after="100"/>
      </w:pPr>
      <w:r>
        <w:rPr>
          <w:rFonts w:ascii="Carlito" w:hAnsi="Carlito" w:eastAsia="Carlito"/>
        </w:rPr>
        <w:t xml:space="preserve">2. Ключевой принцип</w:t>
      </w:r>
    </w:p>
    <w:p>
      <w:pPr>
        <w:pStyle w:val="FirstParagraph"/>
        <w:widowControl/>
        <w:spacing w:line="259" w:lineRule="auto" w:after="90"/>
        <w:ind w:firstLine="360"/>
      </w:pPr>
      <w:r>
        <w:rPr>
          <w:rFonts w:ascii="Carlito" w:hAnsi="Carlito" w:eastAsia="Carlito"/>
        </w:rPr>
        <w:t xml:space="preserve">Ни один последующий уровень внедрения не возникает автоматически. Положительный результат пилота создаёт только право рассмотреть следующий этап, но не обязанность его начать. Отрицательный или неопределённый результат препятствует расширению до устранения выявленных причин и проведения новой независимой проверки.</w:t>
      </w:r>
    </w:p>
    <w:bookmarkEnd w:id="28"/>
    <w:bookmarkStart w:id="29" w:name="основные-определения"/>
    <w:p>
      <w:pPr>
        <w:pStyle w:val="Heading2"/>
        <w:keepNext/>
        <w:keepLines/>
        <w:widowControl/>
        <w:spacing w:before="160" w:after="100"/>
      </w:pPr>
      <w:r>
        <w:rPr>
          <w:rFonts w:ascii="Carlito" w:hAnsi="Carlito" w:eastAsia="Carlito"/>
        </w:rPr>
        <w:t xml:space="preserve">3. Основные определения</w:t>
      </w:r>
    </w:p>
    <w:tbl>
      <w:tblPr>
        <w:tblStyle w:val="TableGrid"/>
        <w:tblW w:type="pct" w:w="5000"/>
        <w:jc w:val="center"/>
        <w:tblLayout w:type="fixed"/>
        <w:tblLook w:firstRow="1" w:lastRow="0" w:firstColumn="0" w:lastColumn="0" w:noHBand="0" w:noVBand="0" w:val="0020"/>
      </w:tblPr>
      <w:tblGrid>
        <w:gridCol w:w="3960"/>
        <w:gridCol w:w="3960"/>
      </w:tblGrid>
      <w:tr>
        <w:trPr>
          <w:tblHeader w:val="true"/>
          <w:tblHeader w:val="true"/>
          <w:cantSplit/>
          <w:tblHeader w:val="true"/>
        </w:trPr>
        <w:tc>
          <w:tcPr>
            <w:tcMar>
              <w:top w:w="65" w:type="dxa"/>
              <w:start w:w="65" w:type="dxa"/>
              <w:bottom w:w="65" w:type="dxa"/>
              <w:end w:w="65" w:type="dxa"/>
            </w:tcMar>
            <w:vAlign w:val="center"/>
            <w:shd w:fill="17365D"/>
            <w:tcW w:type="dxa" w:w="2304"/>
          </w:tcPr>
          <w:p>
            <w:pPr>
              <w:spacing w:after="40" w:line="240" w:lineRule="auto" w:before="0"/>
              <w:jc w:val="center"/>
            </w:pPr>
            <w:r>
              <w:rPr>
                <w:rFonts w:ascii="Carlito" w:hAnsi="Carlito" w:eastAsia="Carlito"/>
                <w:b/>
                <w:color w:val="FFFFFF"/>
                <w:sz w:val="16"/>
              </w:rPr>
              <w:t xml:space="preserve">Понятие</w:t>
            </w:r>
          </w:p>
        </w:tc>
        <w:tc>
          <w:tcPr>
            <w:tcMar>
              <w:top w:w="65" w:type="dxa"/>
              <w:start w:w="65" w:type="dxa"/>
              <w:bottom w:w="65" w:type="dxa"/>
              <w:end w:w="65" w:type="dxa"/>
            </w:tcMar>
            <w:vAlign w:val="center"/>
            <w:shd w:fill="17365D"/>
            <w:tcW w:type="dxa" w:w="7704"/>
          </w:tcPr>
          <w:p>
            <w:pPr>
              <w:spacing w:after="40" w:line="240" w:lineRule="auto" w:before="0"/>
              <w:jc w:val="center"/>
            </w:pPr>
            <w:r>
              <w:rPr>
                <w:rFonts w:ascii="Carlito" w:hAnsi="Carlito" w:eastAsia="Carlito"/>
                <w:b/>
                <w:color w:val="FFFFFF"/>
                <w:sz w:val="16"/>
              </w:rPr>
              <w:t xml:space="preserve">Определение</w:t>
            </w:r>
          </w:p>
        </w:tc>
      </w:tr>
      <w:tr>
        <w:trPr>
          <w:cantSplit/>
        </w:trPr>
        <w:tc>
          <w:tcPr>
            <w:tcMar>
              <w:top w:w="65" w:type="dxa"/>
              <w:start w:w="65" w:type="dxa"/>
              <w:bottom w:w="65" w:type="dxa"/>
              <w:end w:w="65" w:type="dxa"/>
            </w:tcMar>
            <w:vAlign w:val="center"/>
            <w:tcW w:type="dxa" w:w="2304"/>
          </w:tcPr>
          <w:p>
            <w:pPr>
              <w:spacing w:after="40" w:line="240" w:lineRule="auto" w:before="0"/>
              <w:jc w:val="left"/>
            </w:pPr>
            <w:r>
              <w:rPr>
                <w:rFonts w:ascii="Carlito" w:hAnsi="Carlito" w:eastAsia="Carlito"/>
                <w:b w:val="0"/>
                <w:color w:val="000000"/>
                <w:sz w:val="16"/>
              </w:rPr>
              <w:t xml:space="preserve">Пилот</w:t>
            </w:r>
          </w:p>
        </w:tc>
        <w:tc>
          <w:tcPr>
            <w:tcMar>
              <w:top w:w="65" w:type="dxa"/>
              <w:start w:w="65" w:type="dxa"/>
              <w:bottom w:w="65" w:type="dxa"/>
              <w:end w:w="65" w:type="dxa"/>
            </w:tcMar>
            <w:vAlign w:val="center"/>
            <w:tcW w:type="dxa" w:w="7704"/>
          </w:tcPr>
          <w:p>
            <w:pPr>
              <w:spacing w:after="40" w:line="240" w:lineRule="auto" w:before="0"/>
              <w:jc w:val="left"/>
            </w:pPr>
            <w:r>
              <w:rPr>
                <w:rFonts w:ascii="Carlito" w:hAnsi="Carlito" w:eastAsia="Carlito"/>
                <w:b w:val="0"/>
                <w:color w:val="000000"/>
                <w:sz w:val="16"/>
              </w:rPr>
              <w:t xml:space="preserve">Ограниченная по сроку, территории, предмету и правовым последствиям апробация отдельных модулей Доктрины.</w:t>
            </w:r>
          </w:p>
        </w:tc>
      </w:tr>
      <w:tr>
        <w:trPr>
          <w:cantSplit/>
        </w:trPr>
        <w:tc>
          <w:tcPr>
            <w:tcMar>
              <w:top w:w="65" w:type="dxa"/>
              <w:start w:w="65" w:type="dxa"/>
              <w:bottom w:w="65" w:type="dxa"/>
              <w:end w:w="65" w:type="dxa"/>
            </w:tcMar>
            <w:vAlign w:val="center"/>
            <w:shd w:fill="EEF3F8"/>
            <w:tcW w:type="dxa" w:w="2304"/>
          </w:tcPr>
          <w:p>
            <w:pPr>
              <w:spacing w:after="40" w:line="240" w:lineRule="auto" w:before="0"/>
              <w:jc w:val="left"/>
            </w:pPr>
            <w:r>
              <w:rPr>
                <w:rFonts w:ascii="Carlito" w:hAnsi="Carlito" w:eastAsia="Carlito"/>
                <w:b w:val="0"/>
                <w:color w:val="000000"/>
                <w:sz w:val="16"/>
              </w:rPr>
              <w:t xml:space="preserve">Контрольная альтернатива</w:t>
            </w:r>
          </w:p>
        </w:tc>
        <w:tc>
          <w:tcPr>
            <w:tcMar>
              <w:top w:w="65" w:type="dxa"/>
              <w:start w:w="65" w:type="dxa"/>
              <w:bottom w:w="65" w:type="dxa"/>
              <w:end w:w="65" w:type="dxa"/>
            </w:tcMar>
            <w:vAlign w:val="center"/>
            <w:shd w:fill="EEF3F8"/>
            <w:tcW w:type="dxa" w:w="7704"/>
          </w:tcPr>
          <w:p>
            <w:pPr>
              <w:spacing w:after="40" w:line="240" w:lineRule="auto" w:before="0"/>
              <w:jc w:val="left"/>
            </w:pPr>
            <w:r>
              <w:rPr>
                <w:rFonts w:ascii="Carlito" w:hAnsi="Carlito" w:eastAsia="Carlito"/>
                <w:b w:val="0"/>
                <w:color w:val="000000"/>
                <w:sz w:val="16"/>
              </w:rPr>
              <w:t xml:space="preserve">Сопоставимый существующий или упрощённый механизм, относительно которого измеряется дополнительная ценность пилота.</w:t>
            </w:r>
          </w:p>
        </w:tc>
      </w:tr>
      <w:tr>
        <w:trPr>
          <w:cantSplit/>
        </w:trPr>
        <w:tc>
          <w:tcPr>
            <w:tcMar>
              <w:top w:w="65" w:type="dxa"/>
              <w:start w:w="65" w:type="dxa"/>
              <w:bottom w:w="65" w:type="dxa"/>
              <w:end w:w="65" w:type="dxa"/>
            </w:tcMar>
            <w:vAlign w:val="center"/>
            <w:tcW w:type="dxa" w:w="2304"/>
          </w:tcPr>
          <w:p>
            <w:pPr>
              <w:spacing w:after="40" w:line="240" w:lineRule="auto" w:before="0"/>
              <w:jc w:val="left"/>
            </w:pPr>
            <w:r>
              <w:rPr>
                <w:rFonts w:ascii="Carlito" w:hAnsi="Carlito" w:eastAsia="Carlito"/>
                <w:b w:val="0"/>
                <w:color w:val="000000"/>
                <w:sz w:val="16"/>
              </w:rPr>
              <w:t xml:space="preserve">Ворота готовности</w:t>
            </w:r>
          </w:p>
        </w:tc>
        <w:tc>
          <w:tcPr>
            <w:tcMar>
              <w:top w:w="65" w:type="dxa"/>
              <w:start w:w="65" w:type="dxa"/>
              <w:bottom w:w="65" w:type="dxa"/>
              <w:end w:w="65" w:type="dxa"/>
            </w:tcMar>
            <w:vAlign w:val="center"/>
            <w:tcW w:type="dxa" w:w="7704"/>
          </w:tcPr>
          <w:p>
            <w:pPr>
              <w:spacing w:after="40" w:line="240" w:lineRule="auto" w:before="0"/>
              <w:jc w:val="left"/>
            </w:pPr>
            <w:r>
              <w:rPr>
                <w:rFonts w:ascii="Carlito" w:hAnsi="Carlito" w:eastAsia="Carlito"/>
                <w:b w:val="0"/>
                <w:color w:val="000000"/>
                <w:sz w:val="16"/>
              </w:rPr>
              <w:t xml:space="preserve">Заранее определённая совокупность обязательных условий, без выполнения которой переход на следующий этап запрещён.</w:t>
            </w:r>
          </w:p>
        </w:tc>
      </w:tr>
      <w:tr>
        <w:trPr>
          <w:cantSplit/>
        </w:trPr>
        <w:tc>
          <w:tcPr>
            <w:tcMar>
              <w:top w:w="65" w:type="dxa"/>
              <w:start w:w="65" w:type="dxa"/>
              <w:bottom w:w="65" w:type="dxa"/>
              <w:end w:w="65" w:type="dxa"/>
            </w:tcMar>
            <w:vAlign w:val="center"/>
            <w:shd w:fill="EEF3F8"/>
            <w:tcW w:type="dxa" w:w="2304"/>
          </w:tcPr>
          <w:p>
            <w:pPr>
              <w:spacing w:after="40" w:line="240" w:lineRule="auto" w:before="0"/>
              <w:jc w:val="left"/>
            </w:pPr>
            <w:r>
              <w:rPr>
                <w:rFonts w:ascii="Carlito" w:hAnsi="Carlito" w:eastAsia="Carlito"/>
                <w:b w:val="0"/>
                <w:color w:val="000000"/>
                <w:sz w:val="16"/>
              </w:rPr>
              <w:t xml:space="preserve">Отрицательный пилот</w:t>
            </w:r>
          </w:p>
        </w:tc>
        <w:tc>
          <w:tcPr>
            <w:tcMar>
              <w:top w:w="65" w:type="dxa"/>
              <w:start w:w="65" w:type="dxa"/>
              <w:bottom w:w="65" w:type="dxa"/>
              <w:end w:w="65" w:type="dxa"/>
            </w:tcMar>
            <w:vAlign w:val="center"/>
            <w:shd w:fill="EEF3F8"/>
            <w:tcW w:type="dxa" w:w="7704"/>
          </w:tcPr>
          <w:p>
            <w:pPr>
              <w:spacing w:after="40" w:line="240" w:lineRule="auto" w:before="0"/>
              <w:jc w:val="left"/>
            </w:pPr>
            <w:r>
              <w:rPr>
                <w:rFonts w:ascii="Carlito" w:hAnsi="Carlito" w:eastAsia="Carlito"/>
                <w:b w:val="0"/>
                <w:color w:val="000000"/>
                <w:sz w:val="16"/>
              </w:rPr>
              <w:t xml:space="preserve">Пилот, не подтвердивший преимущества, безопасность или пропорциональность модели; признаётся допустимым и полезным результатом.</w:t>
            </w:r>
          </w:p>
        </w:tc>
      </w:tr>
      <w:tr>
        <w:trPr>
          <w:cantSplit/>
        </w:trPr>
        <w:tc>
          <w:tcPr>
            <w:tcMar>
              <w:top w:w="65" w:type="dxa"/>
              <w:start w:w="65" w:type="dxa"/>
              <w:bottom w:w="65" w:type="dxa"/>
              <w:end w:w="65" w:type="dxa"/>
            </w:tcMar>
            <w:vAlign w:val="center"/>
            <w:tcW w:type="dxa" w:w="2304"/>
          </w:tcPr>
          <w:p>
            <w:pPr>
              <w:spacing w:after="40" w:line="240" w:lineRule="auto" w:before="0"/>
              <w:jc w:val="left"/>
            </w:pPr>
            <w:r>
              <w:rPr>
                <w:rFonts w:ascii="Carlito" w:hAnsi="Carlito" w:eastAsia="Carlito"/>
                <w:b w:val="0"/>
                <w:color w:val="000000"/>
                <w:sz w:val="16"/>
              </w:rPr>
              <w:t xml:space="preserve">Независимая репликация</w:t>
            </w:r>
          </w:p>
        </w:tc>
        <w:tc>
          <w:tcPr>
            <w:tcMar>
              <w:top w:w="65" w:type="dxa"/>
              <w:start w:w="65" w:type="dxa"/>
              <w:bottom w:w="65" w:type="dxa"/>
              <w:end w:w="65" w:type="dxa"/>
            </w:tcMar>
            <w:vAlign w:val="center"/>
            <w:tcW w:type="dxa" w:w="7704"/>
          </w:tcPr>
          <w:p>
            <w:pPr>
              <w:spacing w:after="40" w:line="240" w:lineRule="auto" w:before="0"/>
              <w:jc w:val="left"/>
            </w:pPr>
            <w:r>
              <w:rPr>
                <w:rFonts w:ascii="Carlito" w:hAnsi="Carlito" w:eastAsia="Carlito"/>
                <w:b w:val="0"/>
                <w:color w:val="000000"/>
                <w:sz w:val="16"/>
              </w:rPr>
              <w:t xml:space="preserve">Повторение ключевого цикла и оценки другим оператором или оценщиком в отличающихся условиях.</w:t>
            </w:r>
          </w:p>
        </w:tc>
      </w:tr>
      <w:tr>
        <w:trPr>
          <w:cantSplit/>
        </w:trPr>
        <w:tc>
          <w:tcPr>
            <w:tcMar>
              <w:top w:w="65" w:type="dxa"/>
              <w:start w:w="65" w:type="dxa"/>
              <w:bottom w:w="65" w:type="dxa"/>
              <w:end w:w="65" w:type="dxa"/>
            </w:tcMar>
            <w:vAlign w:val="center"/>
            <w:shd w:fill="EEF3F8"/>
            <w:tcW w:type="dxa" w:w="2304"/>
          </w:tcPr>
          <w:p>
            <w:pPr>
              <w:spacing w:after="40" w:line="240" w:lineRule="auto" w:before="0"/>
              <w:jc w:val="left"/>
            </w:pPr>
            <w:r>
              <w:rPr>
                <w:rFonts w:ascii="Carlito" w:hAnsi="Carlito" w:eastAsia="Carlito"/>
                <w:b w:val="0"/>
                <w:color w:val="000000"/>
                <w:sz w:val="16"/>
              </w:rPr>
              <w:t xml:space="preserve">Автоматическое прекращение</w:t>
            </w:r>
          </w:p>
        </w:tc>
        <w:tc>
          <w:tcPr>
            <w:tcMar>
              <w:top w:w="65" w:type="dxa"/>
              <w:start w:w="65" w:type="dxa"/>
              <w:bottom w:w="65" w:type="dxa"/>
              <w:end w:w="65" w:type="dxa"/>
            </w:tcMar>
            <w:vAlign w:val="center"/>
            <w:shd w:fill="EEF3F8"/>
            <w:tcW w:type="dxa" w:w="7704"/>
          </w:tcPr>
          <w:p>
            <w:pPr>
              <w:spacing w:after="40" w:line="240" w:lineRule="auto" w:before="0"/>
              <w:jc w:val="left"/>
            </w:pPr>
            <w:r>
              <w:rPr>
                <w:rFonts w:ascii="Carlito" w:hAnsi="Carlito" w:eastAsia="Carlito"/>
                <w:b w:val="0"/>
                <w:color w:val="000000"/>
                <w:sz w:val="16"/>
              </w:rPr>
              <w:t xml:space="preserve">Прекращение правового режима и полномочий без дополнительного решения по истечении срока или при наступлении установленного основания.</w:t>
            </w:r>
          </w:p>
        </w:tc>
      </w:tr>
    </w:tbl>
    <w:bookmarkEnd w:id="29"/>
    <w:bookmarkStart w:id="30" w:name="неприкосновенное-ядро-прав"/>
    <w:p>
      <w:pPr>
        <w:pStyle w:val="Heading2"/>
        <w:keepNext/>
        <w:keepLines/>
        <w:widowControl/>
        <w:spacing w:before="160" w:after="100"/>
      </w:pPr>
      <w:r>
        <w:rPr>
          <w:rFonts w:ascii="Carlito" w:hAnsi="Carlito" w:eastAsia="Carlito"/>
        </w:rPr>
        <w:t xml:space="preserve">4. Неприкосновенное ядро прав</w:t>
      </w:r>
    </w:p>
    <w:p>
      <w:pPr>
        <w:pStyle w:val="FirstParagraph"/>
        <w:widowControl/>
        <w:spacing w:line="259" w:lineRule="auto" w:after="90"/>
        <w:ind w:firstLine="360"/>
      </w:pPr>
      <w:r>
        <w:rPr>
          <w:rFonts w:ascii="Carlito" w:hAnsi="Carlito" w:eastAsia="Carlito"/>
        </w:rPr>
        <w:t xml:space="preserve">Экспериментальное регулирование не может приостанавливать или снижать гарантии достоинства, равенства политических прав, свободы выражения и объединения, тайны политического участия, защиты персональных данных, доступности, судебной защиты, свободного мандата, независимости суда и периодических выборов.</w:t>
      </w:r>
    </w:p>
    <w:p>
      <w:pPr>
        <w:pStyle w:val="BodyText"/>
        <w:widowControl/>
      </w:pPr>
      <w:r>
        <w:rPr>
          <w:rFonts w:ascii="Carlito" w:hAnsi="Carlito" w:eastAsia="Carlito"/>
        </w:rPr>
        <w:t xml:space="preserve">Любая норма пилота, допускающая отступление от этого ядра, не применяется. Отсутствие технической или финансовой готовности обеспечить гарантию является основанием отложить либо сузить пилот, а не основанием временно отменить право.</w:t>
      </w:r>
    </w:p>
    <w:bookmarkEnd w:id="30"/>
    <w:bookmarkStart w:id="31" w:name="последовательность-этапов"/>
    <w:p>
      <w:pPr>
        <w:pStyle w:val="Heading2"/>
        <w:keepNext/>
        <w:keepLines/>
        <w:widowControl/>
        <w:spacing w:before="160" w:after="100"/>
      </w:pPr>
      <w:r>
        <w:rPr>
          <w:rFonts w:ascii="Carlito" w:hAnsi="Carlito" w:eastAsia="Carlito"/>
        </w:rPr>
        <w:t xml:space="preserve">5. Последовательность этапов</w:t>
      </w:r>
    </w:p>
    <w:tbl>
      <w:tblPr>
        <w:tblStyle w:val="TableGrid"/>
        <w:tblW w:type="pct" w:w="5000"/>
        <w:jc w:val="center"/>
        <w:tblLayout w:type="fixed"/>
        <w:tblLook w:firstRow="1" w:lastRow="0" w:firstColumn="0" w:lastColumn="0" w:noHBand="0" w:noVBand="0" w:val="0020"/>
      </w:tblPr>
      <w:tblGrid>
        <w:gridCol w:w="1980"/>
        <w:gridCol w:w="1980"/>
        <w:gridCol w:w="1980"/>
        <w:gridCol w:w="1980"/>
      </w:tblGrid>
      <w:tr>
        <w:trPr>
          <w:tblHeader w:val="true"/>
          <w:tblHeader w:val="true"/>
          <w:cantSplit/>
          <w:tblHeader w:val="true"/>
        </w:trPr>
        <w:tc>
          <w:tcPr>
            <w:tcMar>
              <w:top w:w="65" w:type="dxa"/>
              <w:start w:w="65" w:type="dxa"/>
              <w:bottom w:w="65" w:type="dxa"/>
              <w:end w:w="65" w:type="dxa"/>
            </w:tcMar>
            <w:vAlign w:val="center"/>
            <w:shd w:fill="17365D"/>
            <w:tcW w:type="dxa" w:w="1512"/>
          </w:tcPr>
          <w:p>
            <w:pPr>
              <w:spacing w:after="40" w:line="240" w:lineRule="auto" w:before="0"/>
              <w:jc w:val="center"/>
            </w:pPr>
            <w:r>
              <w:rPr>
                <w:rFonts w:ascii="Carlito" w:hAnsi="Carlito" w:eastAsia="Carlito"/>
                <w:b/>
                <w:color w:val="FFFFFF"/>
                <w:sz w:val="15"/>
              </w:rPr>
              <w:t xml:space="preserve">Этап</w:t>
            </w:r>
          </w:p>
        </w:tc>
        <w:tc>
          <w:tcPr>
            <w:tcMar>
              <w:top w:w="65" w:type="dxa"/>
              <w:start w:w="65" w:type="dxa"/>
              <w:bottom w:w="65" w:type="dxa"/>
              <w:end w:w="65" w:type="dxa"/>
            </w:tcMar>
            <w:vAlign w:val="center"/>
            <w:shd w:fill="17365D"/>
            <w:tcW w:type="dxa" w:w="3024"/>
          </w:tcPr>
          <w:p>
            <w:pPr>
              <w:spacing w:after="40" w:line="240" w:lineRule="auto" w:before="0"/>
              <w:jc w:val="center"/>
            </w:pPr>
            <w:r>
              <w:rPr>
                <w:rFonts w:ascii="Carlito" w:hAnsi="Carlito" w:eastAsia="Carlito"/>
                <w:b/>
                <w:color w:val="FFFFFF"/>
                <w:sz w:val="15"/>
              </w:rPr>
              <w:t xml:space="preserve">Допустимый предмет</w:t>
            </w:r>
          </w:p>
        </w:tc>
        <w:tc>
          <w:tcPr>
            <w:tcMar>
              <w:top w:w="65" w:type="dxa"/>
              <w:start w:w="65" w:type="dxa"/>
              <w:bottom w:w="65" w:type="dxa"/>
              <w:end w:w="65" w:type="dxa"/>
            </w:tcMar>
            <w:vAlign w:val="center"/>
            <w:shd w:fill="17365D"/>
            <w:tcW w:type="dxa" w:w="2448"/>
          </w:tcPr>
          <w:p>
            <w:pPr>
              <w:spacing w:after="40" w:line="240" w:lineRule="auto" w:before="0"/>
              <w:jc w:val="center"/>
            </w:pPr>
            <w:r>
              <w:rPr>
                <w:rFonts w:ascii="Carlito" w:hAnsi="Carlito" w:eastAsia="Carlito"/>
                <w:b/>
                <w:color w:val="FFFFFF"/>
                <w:sz w:val="15"/>
              </w:rPr>
              <w:t xml:space="preserve">Правовой эффект</w:t>
            </w:r>
          </w:p>
        </w:tc>
        <w:tc>
          <w:tcPr>
            <w:tcMar>
              <w:top w:w="65" w:type="dxa"/>
              <w:start w:w="65" w:type="dxa"/>
              <w:bottom w:w="65" w:type="dxa"/>
              <w:end w:w="65" w:type="dxa"/>
            </w:tcMar>
            <w:vAlign w:val="center"/>
            <w:shd w:fill="17365D"/>
            <w:tcW w:type="dxa" w:w="3024"/>
          </w:tcPr>
          <w:p>
            <w:pPr>
              <w:spacing w:after="40" w:line="240" w:lineRule="auto" w:before="0"/>
              <w:jc w:val="center"/>
            </w:pPr>
            <w:r>
              <w:rPr>
                <w:rFonts w:ascii="Carlito" w:hAnsi="Carlito" w:eastAsia="Carlito"/>
                <w:b/>
                <w:color w:val="FFFFFF"/>
                <w:sz w:val="15"/>
              </w:rPr>
              <w:t xml:space="preserve">Условие перехода</w:t>
            </w:r>
          </w:p>
        </w:tc>
      </w:tr>
      <w:tr>
        <w:trPr>
          <w:cantSplit/>
        </w:trPr>
        <w:tc>
          <w:tcPr>
            <w:tcMar>
              <w:top w:w="65" w:type="dxa"/>
              <w:start w:w="65" w:type="dxa"/>
              <w:bottom w:w="65" w:type="dxa"/>
              <w:end w:w="65" w:type="dxa"/>
            </w:tcMar>
            <w:vAlign w:val="center"/>
            <w:tcW w:type="dxa" w:w="1512"/>
          </w:tcPr>
          <w:p>
            <w:pPr>
              <w:spacing w:after="40" w:line="240" w:lineRule="auto" w:before="0"/>
              <w:jc w:val="left"/>
            </w:pPr>
            <w:r>
              <w:rPr>
                <w:rFonts w:ascii="Carlito" w:hAnsi="Carlito" w:eastAsia="Carlito"/>
                <w:b w:val="0"/>
                <w:color w:val="000000"/>
                <w:sz w:val="15"/>
              </w:rPr>
              <w:t xml:space="preserve">0. Моделирование</w:t>
            </w:r>
          </w:p>
        </w:tc>
        <w:tc>
          <w:tcPr>
            <w:tcMar>
              <w:top w:w="65" w:type="dxa"/>
              <w:start w:w="65" w:type="dxa"/>
              <w:bottom w:w="65" w:type="dxa"/>
              <w:end w:w="65" w:type="dxa"/>
            </w:tcMar>
            <w:vAlign w:val="center"/>
            <w:tcW w:type="dxa" w:w="3024"/>
          </w:tcPr>
          <w:p>
            <w:pPr>
              <w:spacing w:after="40" w:line="240" w:lineRule="auto" w:before="0"/>
              <w:jc w:val="left"/>
            </w:pPr>
            <w:r>
              <w:rPr>
                <w:rFonts w:ascii="Carlito" w:hAnsi="Carlito" w:eastAsia="Carlito"/>
                <w:b w:val="0"/>
                <w:color w:val="000000"/>
                <w:sz w:val="15"/>
              </w:rPr>
              <w:t xml:space="preserve">Симуляции, модель угроз, макеты интерфейсов, тестирование процессов без реальных политических последствий.</w:t>
            </w:r>
          </w:p>
        </w:tc>
        <w:tc>
          <w:tcPr>
            <w:tcMar>
              <w:top w:w="65" w:type="dxa"/>
              <w:start w:w="65" w:type="dxa"/>
              <w:bottom w:w="65" w:type="dxa"/>
              <w:end w:w="65" w:type="dxa"/>
            </w:tcMar>
            <w:vAlign w:val="center"/>
            <w:tcW w:type="dxa" w:w="2448"/>
          </w:tcPr>
          <w:p>
            <w:pPr>
              <w:spacing w:after="40" w:line="240" w:lineRule="auto" w:before="0"/>
              <w:jc w:val="left"/>
            </w:pPr>
            <w:r>
              <w:rPr>
                <w:rFonts w:ascii="Carlito" w:hAnsi="Carlito" w:eastAsia="Carlito"/>
                <w:b w:val="0"/>
                <w:color w:val="000000"/>
                <w:sz w:val="15"/>
              </w:rPr>
              <w:t xml:space="preserve">Отсутствует.</w:t>
            </w:r>
          </w:p>
        </w:tc>
        <w:tc>
          <w:tcPr>
            <w:tcMar>
              <w:top w:w="65" w:type="dxa"/>
              <w:start w:w="65" w:type="dxa"/>
              <w:bottom w:w="65" w:type="dxa"/>
              <w:end w:w="65" w:type="dxa"/>
            </w:tcMar>
            <w:vAlign w:val="center"/>
            <w:tcW w:type="dxa" w:w="3024"/>
          </w:tcPr>
          <w:p>
            <w:pPr>
              <w:spacing w:after="40" w:line="240" w:lineRule="auto" w:before="0"/>
              <w:jc w:val="left"/>
            </w:pPr>
            <w:r>
              <w:rPr>
                <w:rFonts w:ascii="Carlito" w:hAnsi="Carlito" w:eastAsia="Carlito"/>
                <w:b w:val="0"/>
                <w:color w:val="000000"/>
                <w:sz w:val="15"/>
              </w:rPr>
              <w:t xml:space="preserve">Публичный отчёт, закрытие критических угроз, готовность протокола данных.</w:t>
            </w:r>
          </w:p>
        </w:tc>
      </w:tr>
      <w:tr>
        <w:trPr>
          <w:cantSplit/>
        </w:trPr>
        <w:tc>
          <w:tcPr>
            <w:tcMar>
              <w:top w:w="65" w:type="dxa"/>
              <w:start w:w="65" w:type="dxa"/>
              <w:bottom w:w="65" w:type="dxa"/>
              <w:end w:w="65" w:type="dxa"/>
            </w:tcMar>
            <w:vAlign w:val="center"/>
            <w:shd w:fill="EEF3F8"/>
            <w:tcW w:type="dxa" w:w="1512"/>
          </w:tcPr>
          <w:p>
            <w:pPr>
              <w:spacing w:after="40" w:line="240" w:lineRule="auto" w:before="0"/>
              <w:jc w:val="left"/>
            </w:pPr>
            <w:r>
              <w:rPr>
                <w:rFonts w:ascii="Carlito" w:hAnsi="Carlito" w:eastAsia="Carlito"/>
                <w:b w:val="0"/>
                <w:color w:val="000000"/>
                <w:sz w:val="15"/>
              </w:rPr>
              <w:t xml:space="preserve">1. Низкорисковый локальный пилот</w:t>
            </w:r>
          </w:p>
        </w:tc>
        <w:tc>
          <w:tcPr>
            <w:tcMar>
              <w:top w:w="65" w:type="dxa"/>
              <w:start w:w="65" w:type="dxa"/>
              <w:bottom w:w="65" w:type="dxa"/>
              <w:end w:w="65" w:type="dxa"/>
            </w:tcMar>
            <w:vAlign w:val="center"/>
            <w:shd w:fill="EEF3F8"/>
            <w:tcW w:type="dxa" w:w="3024"/>
          </w:tcPr>
          <w:p>
            <w:pPr>
              <w:spacing w:after="40" w:line="240" w:lineRule="auto" w:before="0"/>
              <w:jc w:val="left"/>
            </w:pPr>
            <w:r>
              <w:rPr>
                <w:rFonts w:ascii="Carlito" w:hAnsi="Carlito" w:eastAsia="Carlito"/>
                <w:b w:val="0"/>
                <w:color w:val="000000"/>
                <w:sz w:val="15"/>
              </w:rPr>
              <w:t xml:space="preserve">Подача инициатив, обработка, обсуждение, доступность, сопоставимые материалы.</w:t>
            </w:r>
          </w:p>
        </w:tc>
        <w:tc>
          <w:tcPr>
            <w:tcMar>
              <w:top w:w="65" w:type="dxa"/>
              <w:start w:w="65" w:type="dxa"/>
              <w:bottom w:w="65" w:type="dxa"/>
              <w:end w:w="65" w:type="dxa"/>
            </w:tcMar>
            <w:vAlign w:val="center"/>
            <w:shd w:fill="EEF3F8"/>
            <w:tcW w:type="dxa" w:w="2448"/>
          </w:tcPr>
          <w:p>
            <w:pPr>
              <w:spacing w:after="40" w:line="240" w:lineRule="auto" w:before="0"/>
              <w:jc w:val="left"/>
            </w:pPr>
            <w:r>
              <w:rPr>
                <w:rFonts w:ascii="Carlito" w:hAnsi="Carlito" w:eastAsia="Carlito"/>
                <w:b w:val="0"/>
                <w:color w:val="000000"/>
                <w:sz w:val="15"/>
              </w:rPr>
              <w:t xml:space="preserve">Информационный и процедурный.</w:t>
            </w:r>
          </w:p>
        </w:tc>
        <w:tc>
          <w:tcPr>
            <w:tcMar>
              <w:top w:w="65" w:type="dxa"/>
              <w:start w:w="65" w:type="dxa"/>
              <w:bottom w:w="65" w:type="dxa"/>
              <w:end w:w="65" w:type="dxa"/>
            </w:tcMar>
            <w:vAlign w:val="center"/>
            <w:shd w:fill="EEF3F8"/>
            <w:tcW w:type="dxa" w:w="3024"/>
          </w:tcPr>
          <w:p>
            <w:pPr>
              <w:spacing w:after="40" w:line="240" w:lineRule="auto" w:before="0"/>
              <w:jc w:val="left"/>
            </w:pPr>
            <w:r>
              <w:rPr>
                <w:rFonts w:ascii="Carlito" w:hAnsi="Carlito" w:eastAsia="Carlito"/>
                <w:b w:val="0"/>
                <w:color w:val="000000"/>
                <w:sz w:val="15"/>
              </w:rPr>
              <w:t xml:space="preserve">Независимая оценка, отсутствие существенного ущерба правам, приемлемая стоимость.</w:t>
            </w:r>
          </w:p>
        </w:tc>
      </w:tr>
      <w:tr>
        <w:trPr>
          <w:cantSplit/>
        </w:trPr>
        <w:tc>
          <w:tcPr>
            <w:tcMar>
              <w:top w:w="65" w:type="dxa"/>
              <w:start w:w="65" w:type="dxa"/>
              <w:bottom w:w="65" w:type="dxa"/>
              <w:end w:w="65" w:type="dxa"/>
            </w:tcMar>
            <w:vAlign w:val="center"/>
            <w:tcW w:type="dxa" w:w="1512"/>
          </w:tcPr>
          <w:p>
            <w:pPr>
              <w:spacing w:after="40" w:line="240" w:lineRule="auto" w:before="0"/>
              <w:jc w:val="left"/>
            </w:pPr>
            <w:r>
              <w:rPr>
                <w:rFonts w:ascii="Carlito" w:hAnsi="Carlito" w:eastAsia="Carlito"/>
                <w:b w:val="0"/>
                <w:color w:val="000000"/>
                <w:sz w:val="15"/>
              </w:rPr>
              <w:t xml:space="preserve">2. Муниципальный полный консультативный цикл</w:t>
            </w:r>
          </w:p>
        </w:tc>
        <w:tc>
          <w:tcPr>
            <w:tcMar>
              <w:top w:w="65" w:type="dxa"/>
              <w:start w:w="65" w:type="dxa"/>
              <w:bottom w:w="65" w:type="dxa"/>
              <w:end w:w="65" w:type="dxa"/>
            </w:tcMar>
            <w:vAlign w:val="center"/>
            <w:tcW w:type="dxa" w:w="3024"/>
          </w:tcPr>
          <w:p>
            <w:pPr>
              <w:spacing w:after="40" w:line="240" w:lineRule="auto" w:before="0"/>
              <w:jc w:val="left"/>
            </w:pPr>
            <w:r>
              <w:rPr>
                <w:rFonts w:ascii="Carlito" w:hAnsi="Carlito" w:eastAsia="Carlito"/>
                <w:b w:val="0"/>
                <w:color w:val="000000"/>
                <w:sz w:val="15"/>
              </w:rPr>
              <w:t xml:space="preserve">Ограниченное число тем, финальное консультативное голосование, декларации участников местных выборов.</w:t>
            </w:r>
          </w:p>
        </w:tc>
        <w:tc>
          <w:tcPr>
            <w:tcMar>
              <w:top w:w="65" w:type="dxa"/>
              <w:start w:w="65" w:type="dxa"/>
              <w:bottom w:w="65" w:type="dxa"/>
              <w:end w:w="65" w:type="dxa"/>
            </w:tcMar>
            <w:vAlign w:val="center"/>
            <w:tcW w:type="dxa" w:w="2448"/>
          </w:tcPr>
          <w:p>
            <w:pPr>
              <w:spacing w:after="40" w:line="240" w:lineRule="auto" w:before="0"/>
              <w:jc w:val="left"/>
            </w:pPr>
            <w:r>
              <w:rPr>
                <w:rFonts w:ascii="Carlito" w:hAnsi="Carlito" w:eastAsia="Carlito"/>
                <w:b w:val="0"/>
                <w:color w:val="000000"/>
                <w:sz w:val="15"/>
              </w:rPr>
              <w:t xml:space="preserve">Обязанность ответа и публикации, без обязательности политического результата.</w:t>
            </w:r>
          </w:p>
        </w:tc>
        <w:tc>
          <w:tcPr>
            <w:tcMar>
              <w:top w:w="65" w:type="dxa"/>
              <w:start w:w="65" w:type="dxa"/>
              <w:bottom w:w="65" w:type="dxa"/>
              <w:end w:w="65" w:type="dxa"/>
            </w:tcMar>
            <w:vAlign w:val="center"/>
            <w:tcW w:type="dxa" w:w="3024"/>
          </w:tcPr>
          <w:p>
            <w:pPr>
              <w:spacing w:after="40" w:line="240" w:lineRule="auto" w:before="0"/>
              <w:jc w:val="left"/>
            </w:pPr>
            <w:r>
              <w:rPr>
                <w:rFonts w:ascii="Carlito" w:hAnsi="Carlito" w:eastAsia="Carlito"/>
                <w:b w:val="0"/>
                <w:color w:val="000000"/>
                <w:sz w:val="15"/>
              </w:rPr>
              <w:t xml:space="preserve">Выполнение ворот готовности, контрольная территория, повторяемость.</w:t>
            </w:r>
          </w:p>
        </w:tc>
      </w:tr>
      <w:tr>
        <w:trPr>
          <w:cantSplit/>
        </w:trPr>
        <w:tc>
          <w:tcPr>
            <w:tcMar>
              <w:top w:w="65" w:type="dxa"/>
              <w:start w:w="65" w:type="dxa"/>
              <w:bottom w:w="65" w:type="dxa"/>
              <w:end w:w="65" w:type="dxa"/>
            </w:tcMar>
            <w:vAlign w:val="center"/>
            <w:shd w:fill="EEF3F8"/>
            <w:tcW w:type="dxa" w:w="1512"/>
          </w:tcPr>
          <w:p>
            <w:pPr>
              <w:spacing w:after="40" w:line="240" w:lineRule="auto" w:before="0"/>
              <w:jc w:val="left"/>
            </w:pPr>
            <w:r>
              <w:rPr>
                <w:rFonts w:ascii="Carlito" w:hAnsi="Carlito" w:eastAsia="Carlito"/>
                <w:b w:val="0"/>
                <w:color w:val="000000"/>
                <w:sz w:val="15"/>
              </w:rPr>
              <w:t xml:space="preserve">3. Региональный консультативный цикл</w:t>
            </w:r>
          </w:p>
        </w:tc>
        <w:tc>
          <w:tcPr>
            <w:tcMar>
              <w:top w:w="65" w:type="dxa"/>
              <w:start w:w="65" w:type="dxa"/>
              <w:bottom w:w="65" w:type="dxa"/>
              <w:end w:w="65" w:type="dxa"/>
            </w:tcMar>
            <w:vAlign w:val="center"/>
            <w:shd w:fill="EEF3F8"/>
            <w:tcW w:type="dxa" w:w="3024"/>
          </w:tcPr>
          <w:p>
            <w:pPr>
              <w:spacing w:after="40" w:line="240" w:lineRule="auto" w:before="0"/>
              <w:jc w:val="left"/>
            </w:pPr>
            <w:r>
              <w:rPr>
                <w:rFonts w:ascii="Carlito" w:hAnsi="Carlito" w:eastAsia="Carlito"/>
                <w:b w:val="0"/>
                <w:color w:val="000000"/>
                <w:sz w:val="15"/>
              </w:rPr>
              <w:t xml:space="preserve">Многоуровневая компетенция, более высокая нагрузка, открытый мониторинг.</w:t>
            </w:r>
          </w:p>
        </w:tc>
        <w:tc>
          <w:tcPr>
            <w:tcMar>
              <w:top w:w="65" w:type="dxa"/>
              <w:start w:w="65" w:type="dxa"/>
              <w:bottom w:w="65" w:type="dxa"/>
              <w:end w:w="65" w:type="dxa"/>
            </w:tcMar>
            <w:vAlign w:val="center"/>
            <w:shd w:fill="EEF3F8"/>
            <w:tcW w:type="dxa" w:w="2448"/>
          </w:tcPr>
          <w:p>
            <w:pPr>
              <w:spacing w:after="40" w:line="240" w:lineRule="auto" w:before="0"/>
              <w:jc w:val="left"/>
            </w:pPr>
            <w:r>
              <w:rPr>
                <w:rFonts w:ascii="Carlito" w:hAnsi="Carlito" w:eastAsia="Carlito"/>
                <w:b w:val="0"/>
                <w:color w:val="000000"/>
                <w:sz w:val="15"/>
              </w:rPr>
              <w:t xml:space="preserve">Процедурные обязанности, установленные законом.</w:t>
            </w:r>
          </w:p>
        </w:tc>
        <w:tc>
          <w:tcPr>
            <w:tcMar>
              <w:top w:w="65" w:type="dxa"/>
              <w:start w:w="65" w:type="dxa"/>
              <w:bottom w:w="65" w:type="dxa"/>
              <w:end w:w="65" w:type="dxa"/>
            </w:tcMar>
            <w:vAlign w:val="center"/>
            <w:shd w:fill="EEF3F8"/>
            <w:tcW w:type="dxa" w:w="3024"/>
          </w:tcPr>
          <w:p>
            <w:pPr>
              <w:spacing w:after="40" w:line="240" w:lineRule="auto" w:before="0"/>
              <w:jc w:val="left"/>
            </w:pPr>
            <w:r>
              <w:rPr>
                <w:rFonts w:ascii="Carlito" w:hAnsi="Carlito" w:eastAsia="Carlito"/>
                <w:b w:val="0"/>
                <w:color w:val="000000"/>
                <w:sz w:val="15"/>
              </w:rPr>
              <w:t xml:space="preserve">Не менее двух независимых циклов и отсутствие ухудшения базовых выборов.</w:t>
            </w:r>
          </w:p>
        </w:tc>
      </w:tr>
      <w:tr>
        <w:trPr>
          <w:cantSplit/>
        </w:trPr>
        <w:tc>
          <w:tcPr>
            <w:tcMar>
              <w:top w:w="65" w:type="dxa"/>
              <w:start w:w="65" w:type="dxa"/>
              <w:bottom w:w="65" w:type="dxa"/>
              <w:end w:w="65" w:type="dxa"/>
            </w:tcMar>
            <w:vAlign w:val="center"/>
            <w:tcW w:type="dxa" w:w="1512"/>
          </w:tcPr>
          <w:p>
            <w:pPr>
              <w:spacing w:after="40" w:line="240" w:lineRule="auto" w:before="0"/>
              <w:jc w:val="left"/>
            </w:pPr>
            <w:r>
              <w:rPr>
                <w:rFonts w:ascii="Carlito" w:hAnsi="Carlito" w:eastAsia="Carlito"/>
                <w:b w:val="0"/>
                <w:color w:val="000000"/>
                <w:sz w:val="15"/>
              </w:rPr>
              <w:t xml:space="preserve">4. Национальный консультативный цикл</w:t>
            </w:r>
          </w:p>
        </w:tc>
        <w:tc>
          <w:tcPr>
            <w:tcMar>
              <w:top w:w="65" w:type="dxa"/>
              <w:start w:w="65" w:type="dxa"/>
              <w:bottom w:w="65" w:type="dxa"/>
              <w:end w:w="65" w:type="dxa"/>
            </w:tcMar>
            <w:vAlign w:val="center"/>
            <w:tcW w:type="dxa" w:w="3024"/>
          </w:tcPr>
          <w:p>
            <w:pPr>
              <w:spacing w:after="40" w:line="240" w:lineRule="auto" w:before="0"/>
              <w:jc w:val="left"/>
            </w:pPr>
            <w:r>
              <w:rPr>
                <w:rFonts w:ascii="Carlito" w:hAnsi="Carlito" w:eastAsia="Carlito"/>
                <w:b w:val="0"/>
                <w:color w:val="000000"/>
                <w:sz w:val="15"/>
              </w:rPr>
              <w:t xml:space="preserve">Ограниченный перечень стратегических тем.</w:t>
            </w:r>
          </w:p>
        </w:tc>
        <w:tc>
          <w:tcPr>
            <w:tcMar>
              <w:top w:w="65" w:type="dxa"/>
              <w:start w:w="65" w:type="dxa"/>
              <w:bottom w:w="65" w:type="dxa"/>
              <w:end w:w="65" w:type="dxa"/>
            </w:tcMar>
            <w:vAlign w:val="center"/>
            <w:tcW w:type="dxa" w:w="2448"/>
          </w:tcPr>
          <w:p>
            <w:pPr>
              <w:spacing w:after="40" w:line="240" w:lineRule="auto" w:before="0"/>
              <w:jc w:val="left"/>
            </w:pPr>
            <w:r>
              <w:rPr>
                <w:rFonts w:ascii="Carlito" w:hAnsi="Carlito" w:eastAsia="Carlito"/>
                <w:b w:val="0"/>
                <w:color w:val="000000"/>
                <w:sz w:val="15"/>
              </w:rPr>
              <w:t xml:space="preserve">Только заранее установленный законом процедурный эффект.</w:t>
            </w:r>
          </w:p>
        </w:tc>
        <w:tc>
          <w:tcPr>
            <w:tcMar>
              <w:top w:w="65" w:type="dxa"/>
              <w:start w:w="65" w:type="dxa"/>
              <w:bottom w:w="65" w:type="dxa"/>
              <w:end w:w="65" w:type="dxa"/>
            </w:tcMar>
            <w:vAlign w:val="center"/>
            <w:tcW w:type="dxa" w:w="3024"/>
          </w:tcPr>
          <w:p>
            <w:pPr>
              <w:spacing w:after="40" w:line="240" w:lineRule="auto" w:before="0"/>
              <w:jc w:val="left"/>
            </w:pPr>
            <w:r>
              <w:rPr>
                <w:rFonts w:ascii="Carlito" w:hAnsi="Carlito" w:eastAsia="Carlito"/>
                <w:b w:val="0"/>
                <w:color w:val="000000"/>
                <w:sz w:val="15"/>
              </w:rPr>
              <w:t xml:space="preserve">Отдельный закон после конституционной, финансовой и цифровой экспертизы.</w:t>
            </w:r>
          </w:p>
        </w:tc>
      </w:tr>
      <w:tr>
        <w:trPr>
          <w:cantSplit/>
        </w:trPr>
        <w:tc>
          <w:tcPr>
            <w:tcMar>
              <w:top w:w="65" w:type="dxa"/>
              <w:start w:w="65" w:type="dxa"/>
              <w:bottom w:w="65" w:type="dxa"/>
              <w:end w:w="65" w:type="dxa"/>
            </w:tcMar>
            <w:vAlign w:val="center"/>
            <w:shd w:fill="EEF3F8"/>
            <w:tcW w:type="dxa" w:w="1512"/>
          </w:tcPr>
          <w:p>
            <w:pPr>
              <w:spacing w:after="40" w:line="240" w:lineRule="auto" w:before="0"/>
              <w:jc w:val="left"/>
            </w:pPr>
            <w:r>
              <w:rPr>
                <w:rFonts w:ascii="Carlito" w:hAnsi="Carlito" w:eastAsia="Carlito"/>
                <w:b w:val="0"/>
                <w:color w:val="000000"/>
                <w:sz w:val="15"/>
              </w:rPr>
              <w:t xml:space="preserve">5. Специальный юридический эффект</w:t>
            </w:r>
          </w:p>
        </w:tc>
        <w:tc>
          <w:tcPr>
            <w:tcMar>
              <w:top w:w="65" w:type="dxa"/>
              <w:start w:w="65" w:type="dxa"/>
              <w:bottom w:w="65" w:type="dxa"/>
              <w:end w:w="65" w:type="dxa"/>
            </w:tcMar>
            <w:vAlign w:val="center"/>
            <w:shd w:fill="EEF3F8"/>
            <w:tcW w:type="dxa" w:w="3024"/>
          </w:tcPr>
          <w:p>
            <w:pPr>
              <w:spacing w:after="40" w:line="240" w:lineRule="auto" w:before="0"/>
              <w:jc w:val="left"/>
            </w:pPr>
            <w:r>
              <w:rPr>
                <w:rFonts w:ascii="Carlito" w:hAnsi="Carlito" w:eastAsia="Carlito"/>
                <w:b w:val="0"/>
                <w:color w:val="000000"/>
                <w:sz w:val="15"/>
              </w:rPr>
              <w:t xml:space="preserve">Только для отдельных механизмов, допускаемых конституцией.</w:t>
            </w:r>
          </w:p>
        </w:tc>
        <w:tc>
          <w:tcPr>
            <w:tcMar>
              <w:top w:w="65" w:type="dxa"/>
              <w:start w:w="65" w:type="dxa"/>
              <w:bottom w:w="65" w:type="dxa"/>
              <w:end w:w="65" w:type="dxa"/>
            </w:tcMar>
            <w:vAlign w:val="center"/>
            <w:shd w:fill="EEF3F8"/>
            <w:tcW w:type="dxa" w:w="2448"/>
          </w:tcPr>
          <w:p>
            <w:pPr>
              <w:spacing w:after="40" w:line="240" w:lineRule="auto" w:before="0"/>
              <w:jc w:val="left"/>
            </w:pPr>
            <w:r>
              <w:rPr>
                <w:rFonts w:ascii="Carlito" w:hAnsi="Carlito" w:eastAsia="Carlito"/>
                <w:b w:val="0"/>
                <w:color w:val="000000"/>
                <w:sz w:val="15"/>
              </w:rPr>
              <w:t xml:space="preserve">Возникает исключительно через обычный закон, референдум или конституционную процедуру.</w:t>
            </w:r>
          </w:p>
        </w:tc>
        <w:tc>
          <w:tcPr>
            <w:tcMar>
              <w:top w:w="65" w:type="dxa"/>
              <w:start w:w="65" w:type="dxa"/>
              <w:bottom w:w="65" w:type="dxa"/>
              <w:end w:w="65" w:type="dxa"/>
            </w:tcMar>
            <w:vAlign w:val="center"/>
            <w:shd w:fill="EEF3F8"/>
            <w:tcW w:type="dxa" w:w="3024"/>
          </w:tcPr>
          <w:p>
            <w:pPr>
              <w:spacing w:after="40" w:line="240" w:lineRule="auto" w:before="0"/>
              <w:jc w:val="left"/>
            </w:pPr>
            <w:r>
              <w:rPr>
                <w:rFonts w:ascii="Carlito" w:hAnsi="Carlito" w:eastAsia="Carlito"/>
                <w:b w:val="0"/>
                <w:color w:val="000000"/>
                <w:sz w:val="15"/>
              </w:rPr>
              <w:t xml:space="preserve">Самостоятельная процедура; результат пилота не заменяет её.</w:t>
            </w:r>
          </w:p>
        </w:tc>
      </w:tr>
    </w:tbl>
    <w:bookmarkEnd w:id="31"/>
    <w:bookmarkStart w:id="32" w:name="X2efcbd6b5a992c7d00d549683caab741481be1e"/>
    <w:p>
      <w:pPr>
        <w:pStyle w:val="Heading3"/>
        <w:keepNext/>
        <w:widowControl/>
      </w:pPr>
      <w:r>
        <w:t>5.1. Раздельные ворота доказательств</w:t>
      </w:r>
    </w:p>
    <w:p>
      <w:pPr>
        <w:widowControl/>
      </w:pPr>
      <w:r>
        <w:t>Пилотирование разделяется по реально проверяемым полномочиям: симуляция и добровольный кандидатский тест; официальный информационный цикл без ограничений регистрации; ограниченный живой цикл собственных процедурных обязанностей; только затем рассмотрение усиленного национального режима.</w:t>
      </w:r>
    </w:p>
    <w:p>
      <w:pPr>
        <w:widowControl/>
      </w:pPr>
      <w:r>
        <w:t>Ни один этап не подтверждает механизм, которого в нём не было. Масштабирование каждого нового полномочия требует отдельного воспроизводимого пилота именно этого полномочия и самостоятельной конституционной оценки.</w:t>
      </w:r>
    </w:p>
    <w:p>
      <w:pPr>
        <w:pStyle w:val="Heading2"/>
        <w:keepNext/>
        <w:keepLines/>
        <w:widowControl/>
        <w:spacing w:before="160" w:after="100"/>
      </w:pPr>
      <w:r>
        <w:rPr>
          <w:rFonts w:ascii="Carlito" w:hAnsi="Carlito" w:eastAsia="Carlito"/>
        </w:rPr>
        <w:t xml:space="preserve">6. Паспорт пилота и предварительная регистрация</w:t>
      </w:r>
    </w:p>
    <w:p>
      <w:pPr>
        <w:pStyle w:val="FirstParagraph"/>
        <w:widowControl/>
        <w:spacing w:line="259" w:lineRule="auto" w:after="90"/>
        <w:ind w:firstLine="360"/>
      </w:pPr>
      <w:r>
        <w:rPr>
          <w:rFonts w:ascii="Carlito" w:hAnsi="Carlito" w:eastAsia="Carlito"/>
        </w:rPr>
        <w:t xml:space="preserve">До финансирования и запуска публикуется паспорт пилота. Он не может быть изменён задним числом для улучшения оценки результата. Паспорт содержит:</w:t>
      </w:r>
    </w:p>
    <w:p>
      <w:pPr>
        <w:pStyle w:val="Compact"/>
        <w:widowControl/>
        <w:numPr>
          <w:ilvl w:val="0"/>
          <w:numId w:val="1003"/>
        </w:numPr>
        <w:spacing w:line="259" w:lineRule="auto" w:after="90"/>
      </w:pPr>
      <w:r>
        <w:rPr>
          <w:rFonts w:ascii="Carlito" w:hAnsi="Carlito" w:eastAsia="Carlito"/>
        </w:rPr>
        <w:t xml:space="preserve">проверяемую гипотезу и общественную проблему, которую предполагается решить;</w:t>
      </w:r>
    </w:p>
    <w:p>
      <w:pPr>
        <w:pStyle w:val="Compact"/>
        <w:widowControl/>
        <w:numPr>
          <w:ilvl w:val="0"/>
          <w:numId w:val="1003"/>
        </w:numPr>
        <w:spacing w:line="259" w:lineRule="auto" w:after="90"/>
      </w:pPr>
      <w:r>
        <w:rPr>
          <w:rFonts w:ascii="Carlito" w:hAnsi="Carlito" w:eastAsia="Carlito"/>
        </w:rPr>
        <w:t xml:space="preserve">контрольную альтернативу и причину, по которой существующих инструментов недостаточно;</w:t>
      </w:r>
    </w:p>
    <w:p>
      <w:pPr>
        <w:pStyle w:val="Compact"/>
        <w:widowControl/>
        <w:numPr>
          <w:ilvl w:val="0"/>
          <w:numId w:val="1003"/>
        </w:numPr>
        <w:spacing w:line="259" w:lineRule="auto" w:after="90"/>
      </w:pPr>
      <w:r>
        <w:rPr>
          <w:rFonts w:ascii="Carlito" w:hAnsi="Carlito" w:eastAsia="Carlito"/>
        </w:rPr>
        <w:t xml:space="preserve">территорию, срок, предмет, число тем и категории участников;</w:t>
      </w:r>
    </w:p>
    <w:p>
      <w:pPr>
        <w:pStyle w:val="Compact"/>
        <w:widowControl/>
        <w:numPr>
          <w:ilvl w:val="0"/>
          <w:numId w:val="1003"/>
        </w:numPr>
        <w:spacing w:line="259" w:lineRule="auto" w:after="90"/>
      </w:pPr>
      <w:r>
        <w:rPr>
          <w:rFonts w:ascii="Carlito" w:hAnsi="Carlito" w:eastAsia="Carlito"/>
        </w:rPr>
        <w:t xml:space="preserve">перечень правовых последствий и прямое перечисление последствий, которых пилот не создаёт;</w:t>
      </w:r>
    </w:p>
    <w:p>
      <w:pPr>
        <w:pStyle w:val="Compact"/>
        <w:widowControl/>
        <w:numPr>
          <w:ilvl w:val="0"/>
          <w:numId w:val="1003"/>
        </w:numPr>
        <w:spacing w:line="259" w:lineRule="auto" w:after="90"/>
      </w:pPr>
      <w:r>
        <w:rPr>
          <w:rFonts w:ascii="Carlito" w:hAnsi="Carlito" w:eastAsia="Carlito"/>
        </w:rPr>
        <w:t xml:space="preserve">оператора, владельца процесса, аудитора, оценщика и источники их финансирования;</w:t>
      </w:r>
    </w:p>
    <w:p>
      <w:pPr>
        <w:pStyle w:val="Compact"/>
        <w:widowControl/>
        <w:numPr>
          <w:ilvl w:val="0"/>
          <w:numId w:val="1003"/>
        </w:numPr>
        <w:spacing w:line="259" w:lineRule="auto" w:after="90"/>
      </w:pPr>
      <w:r>
        <w:rPr>
          <w:rFonts w:ascii="Carlito" w:hAnsi="Carlito" w:eastAsia="Carlito"/>
        </w:rPr>
        <w:t xml:space="preserve">метрики успеха, провала, остановки и допустимые диапазоны неопределённости;</w:t>
      </w:r>
    </w:p>
    <w:p>
      <w:pPr>
        <w:pStyle w:val="Compact"/>
        <w:widowControl/>
        <w:numPr>
          <w:ilvl w:val="0"/>
          <w:numId w:val="1003"/>
        </w:numPr>
        <w:spacing w:line="259" w:lineRule="auto" w:after="90"/>
      </w:pPr>
      <w:r>
        <w:rPr>
          <w:rFonts w:ascii="Carlito" w:hAnsi="Carlito" w:eastAsia="Carlito"/>
        </w:rPr>
        <w:t xml:space="preserve">план данных, сроки хранения, модель угроз и порядок уничтожения;</w:t>
      </w:r>
    </w:p>
    <w:p>
      <w:pPr>
        <w:pStyle w:val="Compact"/>
        <w:widowControl/>
        <w:numPr>
          <w:ilvl w:val="0"/>
          <w:numId w:val="1003"/>
        </w:numPr>
        <w:spacing w:line="259" w:lineRule="auto" w:after="90"/>
      </w:pPr>
      <w:r>
        <w:rPr>
          <w:rFonts w:ascii="Carlito" w:hAnsi="Carlito" w:eastAsia="Carlito"/>
        </w:rPr>
        <w:t xml:space="preserve">полную смету, стоимость на участника и на один прошедший полный цикл пункт;</w:t>
      </w:r>
    </w:p>
    <w:p>
      <w:pPr>
        <w:pStyle w:val="Compact"/>
        <w:widowControl/>
        <w:numPr>
          <w:ilvl w:val="0"/>
          <w:numId w:val="1003"/>
        </w:numPr>
        <w:spacing w:line="259" w:lineRule="auto" w:after="90"/>
      </w:pPr>
      <w:r>
        <w:rPr>
          <w:rFonts w:ascii="Carlito" w:hAnsi="Carlito" w:eastAsia="Carlito"/>
        </w:rPr>
        <w:t xml:space="preserve">процедуры жалобы, экстренной остановки, пересчёта и восстановления;</w:t>
      </w:r>
    </w:p>
    <w:p>
      <w:pPr>
        <w:pStyle w:val="Compact"/>
        <w:widowControl/>
        <w:numPr>
          <w:ilvl w:val="0"/>
          <w:numId w:val="1003"/>
        </w:numPr>
        <w:spacing w:line="259" w:lineRule="auto" w:after="90"/>
      </w:pPr>
      <w:r>
        <w:rPr>
          <w:rFonts w:ascii="Carlito" w:hAnsi="Carlito" w:eastAsia="Carlito"/>
        </w:rPr>
        <w:t xml:space="preserve">план прекращения, передачи архива и расформирования временных функций.</w:t>
      </w:r>
    </w:p>
    <w:bookmarkEnd w:id="32"/>
    <w:bookmarkStart w:id="33" w:name="X1156c786715171bc3503b2238978c2e64a0b68d"/>
    <w:p>
      <w:pPr>
        <w:pStyle w:val="Heading2"/>
        <w:keepNext/>
        <w:keepLines/>
        <w:widowControl/>
        <w:spacing w:before="160" w:after="100"/>
      </w:pPr>
      <w:r>
        <w:rPr>
          <w:rFonts w:ascii="Carlito" w:hAnsi="Carlito" w:eastAsia="Carlito"/>
        </w:rPr>
        <w:t xml:space="preserve">7. Территория и добровольность участия публичного уровня</w:t>
      </w:r>
    </w:p>
    <w:p>
      <w:pPr>
        <w:pStyle w:val="FirstParagraph"/>
        <w:widowControl/>
        <w:spacing w:line="259" w:lineRule="auto" w:after="90"/>
        <w:ind w:firstLine="360"/>
      </w:pPr>
      <w:r>
        <w:rPr>
          <w:rFonts w:ascii="Carlito" w:hAnsi="Carlito" w:eastAsia="Carlito"/>
        </w:rPr>
        <w:t xml:space="preserve">Муниципалитет, регион или иной компетентный публичный уровень включается в пилот только после открытого решения своего представительного органа, оценки административной мощности и соглашения о полном финансировании переданных задач. Отказ не может влиять на обычные трансферты, кадровые решения или политическую оценку территории.</w:t>
      </w:r>
    </w:p>
    <w:p>
      <w:pPr>
        <w:pStyle w:val="BodyText"/>
        <w:widowControl/>
      </w:pPr>
      <w:r>
        <w:rPr>
          <w:rFonts w:ascii="Carlito" w:hAnsi="Carlito" w:eastAsia="Carlito"/>
        </w:rPr>
        <w:t xml:space="preserve">Выбор территории не может основываться только на лояльности, удобстве или ожидаемом положительном результате. Критерии отбора публикуются заранее; при нескольких подходящих территориях применяется прозрачная сравнительная процедура, а при равенстве — жеребьёвка.</w:t>
      </w:r>
    </w:p>
    <w:bookmarkEnd w:id="33"/>
    <w:bookmarkStart w:id="34" w:name="Xb5f300e777d3305b67f8c4aa3fa9aa38e3ef8f4"/>
    <w:p>
      <w:pPr>
        <w:pStyle w:val="Heading2"/>
        <w:keepNext/>
        <w:keepLines/>
        <w:widowControl/>
        <w:spacing w:before="160" w:after="100"/>
      </w:pPr>
      <w:r>
        <w:rPr>
          <w:rFonts w:ascii="Carlito" w:hAnsi="Carlito" w:eastAsia="Carlito"/>
        </w:rPr>
        <w:t xml:space="preserve">8. Контрольная альтернатива и причинная оценка</w:t>
      </w:r>
    </w:p>
    <w:p>
      <w:pPr>
        <w:pStyle w:val="FirstParagraph"/>
        <w:widowControl/>
        <w:spacing w:line="259" w:lineRule="auto" w:after="90"/>
        <w:ind w:firstLine="360"/>
      </w:pPr>
      <w:r>
        <w:rPr>
          <w:rFonts w:ascii="Carlito" w:hAnsi="Carlito" w:eastAsia="Carlito"/>
        </w:rPr>
        <w:t xml:space="preserve">Пилот сравнивается не с отсутствием участия граждан вообще, а с реалистичной альтернативой: усовершенствованной петиционной системой, гражданской ассамблеей, официальным справочником кандидатов, открытым мониторингом или их простой комбинацией. Это предотвращает присвоение Доктриной любого наблюдаемого улучшения.</w:t>
      </w:r>
    </w:p>
    <w:p>
      <w:pPr>
        <w:pStyle w:val="BodyText"/>
        <w:widowControl/>
      </w:pPr>
      <w:r>
        <w:rPr>
          <w:rFonts w:ascii="Carlito" w:hAnsi="Carlito" w:eastAsia="Carlito"/>
        </w:rPr>
        <w:t xml:space="preserve">Оценка различает корреляцию, вклад пилота и причинность. Там, где строгий эксперимент невозможен или неэтичен, используются сопоставимые территории, временные ряды, смешанные методы и открытое описание ограничений.</w:t>
      </w:r>
    </w:p>
    <w:bookmarkEnd w:id="34"/>
    <w:bookmarkStart w:id="35" w:name="разделение-оператора-аудитора-и-оценщика"/>
    <w:p>
      <w:pPr>
        <w:pStyle w:val="Heading2"/>
        <w:keepNext/>
        <w:keepLines/>
        <w:widowControl/>
        <w:spacing w:before="160" w:after="100"/>
      </w:pPr>
      <w:r>
        <w:rPr>
          <w:rFonts w:ascii="Carlito" w:hAnsi="Carlito" w:eastAsia="Carlito"/>
        </w:rPr>
        <w:t xml:space="preserve">9. Разделение оператора, аудитора и оценщика</w:t>
      </w:r>
    </w:p>
    <w:p>
      <w:pPr>
        <w:pStyle w:val="FirstParagraph"/>
        <w:widowControl/>
        <w:spacing w:line="259" w:lineRule="auto" w:after="90"/>
        <w:ind w:firstLine="360"/>
      </w:pPr>
      <w:r>
        <w:rPr>
          <w:rFonts w:ascii="Carlito" w:hAnsi="Carlito" w:eastAsia="Carlito"/>
        </w:rPr>
        <w:t xml:space="preserve">Оператор отвечает за проведение; аудитор — за соблюдение процедур, данные и финансовую целостность; независимый оценщик — за вывод о полезности и возможности масштабирования. Одна организация не совмещает эти функции и не выбирает единолично собственного оценщика.</w:t>
      </w:r>
    </w:p>
    <w:p>
      <w:pPr>
        <w:pStyle w:val="BodyText"/>
        <w:widowControl/>
      </w:pPr>
      <w:r>
        <w:rPr>
          <w:rFonts w:ascii="Carlito" w:hAnsi="Carlito" w:eastAsia="Carlito"/>
        </w:rPr>
        <w:t xml:space="preserve">Оценщик назначается до начала пилота по открытой процедуре, получает гарантированный доступ к необходимым обезличенным данным и не зависит от продолжения финансирования пилота. Его договор не может предусматривать премию за положительный вывод.</w:t>
      </w:r>
    </w:p>
    <w:bookmarkEnd w:id="35"/>
    <w:bookmarkStart w:id="36" w:name="Xf992280d46b755608a3e2e3253039906fea70d9"/>
    <w:p>
      <w:pPr>
        <w:widowControl/>
      </w:pPr>
      <w:r>
        <w:t>Независимый оценщик выбирается конкурсно или случайно из нескольких совместимых консорциумов. Используются несколько сравнительных исходных сценариев, открытый анализ чувствительности и право внешней репликации. Оператор не формирует критерии успеха после начала эксперимента.</w:t>
      </w:r>
    </w:p>
    <w:p>
      <w:pPr>
        <w:pStyle w:val="Heading2"/>
        <w:keepNext/>
        <w:keepLines/>
        <w:widowControl/>
        <w:spacing w:before="160" w:after="100"/>
      </w:pPr>
      <w:r>
        <w:rPr>
          <w:rFonts w:ascii="Carlito" w:hAnsi="Carlito" w:eastAsia="Carlito"/>
        </w:rPr>
        <w:t xml:space="preserve">10. Участники, информированное согласие и право не участвовать</w:t>
      </w:r>
    </w:p>
    <w:p>
      <w:pPr>
        <w:pStyle w:val="FirstParagraph"/>
        <w:widowControl/>
        <w:spacing w:line="259" w:lineRule="auto" w:after="90"/>
        <w:ind w:firstLine="360"/>
      </w:pPr>
      <w:r>
        <w:rPr>
          <w:rFonts w:ascii="Carlito" w:hAnsi="Carlito" w:eastAsia="Carlito"/>
        </w:rPr>
        <w:t xml:space="preserve">Каждый участник до совершения действия получает понятное разъяснение статуса пилота, юридического эффекта, рисков данных, доступных альтернатив и порядка жалобы. Отказ от участия не создаёт неблагоприятных последствий и не интерпретируется как согласие с результатом.</w:t>
      </w:r>
    </w:p>
    <w:p>
      <w:pPr>
        <w:pStyle w:val="BodyText"/>
        <w:widowControl/>
      </w:pPr>
      <w:r>
        <w:rPr>
          <w:rFonts w:ascii="Carlito" w:hAnsi="Carlito" w:eastAsia="Carlito"/>
        </w:rPr>
        <w:t xml:space="preserve">Публичная коммуникация не вправе называть экспериментальное решение окончательной «волей народа», если оно не прошло установленную процедуру и не достигло соответствующего статуса.</w:t>
      </w:r>
    </w:p>
    <w:bookmarkEnd w:id="36"/>
    <w:bookmarkStart w:id="37" w:name="X41710339a362931c6627371e11ca4b00b04d313"/>
    <w:p>
      <w:pPr>
        <w:pStyle w:val="Heading2"/>
        <w:keepNext/>
        <w:keepLines/>
        <w:widowControl/>
        <w:spacing w:before="160" w:after="100"/>
      </w:pPr>
      <w:r>
        <w:rPr>
          <w:rFonts w:ascii="Carlito" w:hAnsi="Carlito" w:eastAsia="Carlito"/>
        </w:rPr>
        <w:t xml:space="preserve">11. Доступность и социальная представительность</w:t>
      </w:r>
    </w:p>
    <w:p>
      <w:pPr>
        <w:pStyle w:val="FirstParagraph"/>
        <w:widowControl/>
        <w:spacing w:line="259" w:lineRule="auto" w:after="90"/>
        <w:ind w:firstLine="360"/>
      </w:pPr>
      <w:r>
        <w:rPr>
          <w:rFonts w:ascii="Carlito" w:hAnsi="Carlito" w:eastAsia="Carlito"/>
        </w:rPr>
        <w:t xml:space="preserve">Офлайн-канал, разумные приспособления, языковая доступность и помощь без подмены позиции участника являются обязательными расходами пилота. Формальное наличие канала не считается доступностью; измеряются фактические различия участия по территориям и социальным группам.</w:t>
      </w:r>
    </w:p>
    <w:p>
      <w:pPr>
        <w:pStyle w:val="BodyText"/>
        <w:widowControl/>
      </w:pPr>
      <w:r>
        <w:rPr>
          <w:rFonts w:ascii="Carlito" w:hAnsi="Carlito" w:eastAsia="Carlito"/>
        </w:rPr>
        <w:t xml:space="preserve">Устойчивая нерепрезентативность не исправляется статистическим переименованием активной группы в общество. Она фиксируется как ограничение результата и при достижении заранее установленного порога является основанием остановки или повторения.</w:t>
      </w:r>
    </w:p>
    <w:bookmarkEnd w:id="37"/>
    <w:bookmarkStart w:id="38" w:name="X2949dd35fb1a97ff58d7299d5a281d362c21584"/>
    <w:p>
      <w:pPr>
        <w:pStyle w:val="Heading2"/>
        <w:keepNext/>
        <w:keepLines/>
        <w:widowControl/>
        <w:spacing w:before="160" w:after="100"/>
      </w:pPr>
      <w:r>
        <w:rPr>
          <w:rFonts w:ascii="Carlito" w:hAnsi="Carlito" w:eastAsia="Carlito"/>
        </w:rPr>
        <w:t xml:space="preserve">12. Политический плюрализм и участники выборов</w:t>
      </w:r>
    </w:p>
    <w:p>
      <w:pPr>
        <w:pStyle w:val="FirstParagraph"/>
        <w:widowControl/>
        <w:spacing w:line="259" w:lineRule="auto" w:after="90"/>
        <w:ind w:firstLine="360"/>
      </w:pPr>
      <w:r>
        <w:rPr>
          <w:rFonts w:ascii="Carlito" w:hAnsi="Carlito" w:eastAsia="Carlito"/>
        </w:rPr>
        <w:t xml:space="preserve">Пилот не может ставить допуск кандидата, партии или инициативной группы в зависимость от участия в экспериментальном контуре. Отсутствие ответа может быть нейтрально зафиксировано только там, где это прямо предусмотрено законом и одинаково применяется ко всем.</w:t>
      </w:r>
    </w:p>
    <w:p>
      <w:pPr>
        <w:pStyle w:val="BodyText"/>
        <w:widowControl/>
      </w:pPr>
      <w:r>
        <w:rPr>
          <w:rFonts w:ascii="Carlito" w:hAnsi="Carlito" w:eastAsia="Carlito"/>
        </w:rPr>
        <w:t xml:space="preserve">Официальные материалы проходят независимый аудит нейтральности интерфейса, порядка показа, языка и полноты контраргументов. Запрещён агрегированный рейтинг политической добродетели кандидата.</w:t>
      </w:r>
    </w:p>
    <w:bookmarkEnd w:id="38"/>
    <w:bookmarkStart w:id="39" w:name="данные-и-кибербезопасность"/>
    <w:p>
      <w:pPr>
        <w:pStyle w:val="Heading2"/>
        <w:keepNext/>
        <w:keepLines/>
        <w:widowControl/>
        <w:spacing w:before="160" w:after="100"/>
      </w:pPr>
      <w:r>
        <w:rPr>
          <w:rFonts w:ascii="Carlito" w:hAnsi="Carlito" w:eastAsia="Carlito"/>
        </w:rPr>
        <w:t xml:space="preserve">13. Данные и кибербезопасность</w:t>
      </w:r>
    </w:p>
    <w:p>
      <w:pPr>
        <w:pStyle w:val="FirstParagraph"/>
        <w:widowControl/>
        <w:spacing w:line="259" w:lineRule="auto" w:after="90"/>
        <w:ind w:firstLine="360"/>
      </w:pPr>
      <w:r>
        <w:rPr>
          <w:rFonts w:ascii="Carlito" w:hAnsi="Carlito" w:eastAsia="Carlito"/>
        </w:rPr>
        <w:t xml:space="preserve">Каждый пилот имеет самостоятельную модель угроз, включая внутреннего нарушителя, захваченного подрядчика, межреестровую корреляцию, домашнее принуждение, отказ сервиса и кампанию недоверия. Масштаб пилота не оправдывает снижение стандартов приватности.</w:t>
      </w:r>
    </w:p>
    <w:p>
      <w:pPr>
        <w:pStyle w:val="BodyText"/>
        <w:widowControl/>
      </w:pPr>
      <w:r>
        <w:rPr>
          <w:rFonts w:ascii="Carlito" w:hAnsi="Carlito" w:eastAsia="Carlito"/>
        </w:rPr>
        <w:t xml:space="preserve">Дистанционное юридически значимое голосование не тестируется одновременно с другими непроверенными модулями. На ранних стадиях цифровой канал дополняет, но не заменяет проверяемый очный или бумажный контур.</w:t>
      </w:r>
    </w:p>
    <w:bookmarkEnd w:id="39"/>
    <w:bookmarkStart w:id="40" w:name="матрица-критических-инцидентов"/>
    <w:p>
      <w:pPr>
        <w:pStyle w:val="Heading2"/>
        <w:keepNext/>
        <w:keepLines/>
        <w:widowControl/>
        <w:spacing w:before="160" w:after="100"/>
      </w:pPr>
      <w:r>
        <w:rPr>
          <w:rFonts w:ascii="Carlito" w:hAnsi="Carlito" w:eastAsia="Carlito"/>
        </w:rPr>
        <w:t xml:space="preserve">14. Матрица критических инцидентов</w:t>
      </w:r>
    </w:p>
    <w:tbl>
      <w:tblPr>
        <w:tblStyle w:val="TableGrid"/>
        <w:tblW w:type="pct" w:w="5000"/>
        <w:jc w:val="center"/>
        <w:tblLayout w:type="fixed"/>
        <w:tblLook w:firstRow="1" w:lastRow="0" w:firstColumn="0" w:lastColumn="0" w:noHBand="0" w:noVBand="0" w:val="0020"/>
      </w:tblPr>
      <w:tblGrid>
        <w:gridCol w:w="1980"/>
        <w:gridCol w:w="1980"/>
        <w:gridCol w:w="1980"/>
        <w:gridCol w:w="1980"/>
      </w:tblGrid>
      <w:tr>
        <w:trPr>
          <w:tblHeader w:val="true"/>
          <w:tblHeader w:val="true"/>
          <w:cantSplit/>
          <w:tblHeader w:val="true"/>
        </w:trPr>
        <w:tc>
          <w:tcPr>
            <w:tcMar>
              <w:top w:w="65" w:type="dxa"/>
              <w:start w:w="65" w:type="dxa"/>
              <w:bottom w:w="65" w:type="dxa"/>
              <w:end w:w="65" w:type="dxa"/>
            </w:tcMar>
            <w:vAlign w:val="center"/>
            <w:shd w:fill="17365D"/>
            <w:tcW w:type="dxa" w:w="1440"/>
          </w:tcPr>
          <w:p>
            <w:pPr>
              <w:spacing w:after="40" w:line="240" w:lineRule="auto" w:before="0"/>
              <w:jc w:val="center"/>
            </w:pPr>
            <w:r>
              <w:rPr>
                <w:rFonts w:ascii="Carlito" w:hAnsi="Carlito" w:eastAsia="Carlito"/>
                <w:b/>
                <w:color w:val="FFFFFF"/>
                <w:sz w:val="15"/>
              </w:rPr>
              <w:t xml:space="preserve">Класс</w:t>
            </w:r>
          </w:p>
        </w:tc>
        <w:tc>
          <w:tcPr>
            <w:tcMar>
              <w:top w:w="65" w:type="dxa"/>
              <w:start w:w="65" w:type="dxa"/>
              <w:bottom w:w="65" w:type="dxa"/>
              <w:end w:w="65" w:type="dxa"/>
            </w:tcMar>
            <w:vAlign w:val="center"/>
            <w:shd w:fill="17365D"/>
            <w:tcW w:type="dxa" w:w="2880"/>
          </w:tcPr>
          <w:p>
            <w:pPr>
              <w:spacing w:after="40" w:line="240" w:lineRule="auto" w:before="0"/>
              <w:jc w:val="center"/>
            </w:pPr>
            <w:r>
              <w:rPr>
                <w:rFonts w:ascii="Carlito" w:hAnsi="Carlito" w:eastAsia="Carlito"/>
                <w:b/>
                <w:color w:val="FFFFFF"/>
                <w:sz w:val="15"/>
              </w:rPr>
              <w:t xml:space="preserve">Пример</w:t>
            </w:r>
          </w:p>
        </w:tc>
        <w:tc>
          <w:tcPr>
            <w:tcMar>
              <w:top w:w="65" w:type="dxa"/>
              <w:start w:w="65" w:type="dxa"/>
              <w:bottom w:w="65" w:type="dxa"/>
              <w:end w:w="65" w:type="dxa"/>
            </w:tcMar>
            <w:vAlign w:val="center"/>
            <w:shd w:fill="17365D"/>
            <w:tcW w:type="dxa" w:w="3096"/>
          </w:tcPr>
          <w:p>
            <w:pPr>
              <w:spacing w:after="40" w:line="240" w:lineRule="auto" w:before="0"/>
              <w:jc w:val="center"/>
            </w:pPr>
            <w:r>
              <w:rPr>
                <w:rFonts w:ascii="Carlito" w:hAnsi="Carlito" w:eastAsia="Carlito"/>
                <w:b/>
                <w:color w:val="FFFFFF"/>
                <w:sz w:val="15"/>
              </w:rPr>
              <w:t xml:space="preserve">Немедленное действие</w:t>
            </w:r>
          </w:p>
        </w:tc>
        <w:tc>
          <w:tcPr>
            <w:tcMar>
              <w:top w:w="65" w:type="dxa"/>
              <w:start w:w="65" w:type="dxa"/>
              <w:bottom w:w="65" w:type="dxa"/>
              <w:end w:w="65" w:type="dxa"/>
            </w:tcMar>
            <w:vAlign w:val="center"/>
            <w:shd w:fill="17365D"/>
            <w:tcW w:type="dxa" w:w="2664"/>
          </w:tcPr>
          <w:p>
            <w:pPr>
              <w:spacing w:after="40" w:line="240" w:lineRule="auto" w:before="0"/>
              <w:jc w:val="center"/>
            </w:pPr>
            <w:r>
              <w:rPr>
                <w:rFonts w:ascii="Carlito" w:hAnsi="Carlito" w:eastAsia="Carlito"/>
                <w:b/>
                <w:color w:val="FFFFFF"/>
                <w:sz w:val="15"/>
              </w:rPr>
              <w:t xml:space="preserve">Решение о результате</w:t>
            </w:r>
          </w:p>
        </w:tc>
      </w:tr>
      <w:tr>
        <w:trPr>
          <w:cantSplit/>
        </w:trPr>
        <w:tc>
          <w:tcPr>
            <w:tcMar>
              <w:top w:w="65" w:type="dxa"/>
              <w:start w:w="65" w:type="dxa"/>
              <w:bottom w:w="65" w:type="dxa"/>
              <w:end w:w="65" w:type="dxa"/>
            </w:tcMar>
            <w:vAlign w:val="center"/>
            <w:tcW w:type="dxa" w:w="1440"/>
          </w:tcPr>
          <w:p>
            <w:pPr>
              <w:spacing w:after="40" w:line="240" w:lineRule="auto" w:before="0"/>
              <w:jc w:val="left"/>
            </w:pPr>
            <w:r>
              <w:rPr>
                <w:rFonts w:ascii="Carlito" w:hAnsi="Carlito" w:eastAsia="Carlito"/>
                <w:b w:val="0"/>
                <w:color w:val="000000"/>
                <w:sz w:val="15"/>
              </w:rPr>
              <w:t xml:space="preserve">A — локальный, обратимый</w:t>
            </w:r>
          </w:p>
        </w:tc>
        <w:tc>
          <w:tcPr>
            <w:tcMar>
              <w:top w:w="65" w:type="dxa"/>
              <w:start w:w="65" w:type="dxa"/>
              <w:bottom w:w="65" w:type="dxa"/>
              <w:end w:w="65" w:type="dxa"/>
            </w:tcMar>
            <w:vAlign w:val="center"/>
            <w:tcW w:type="dxa" w:w="2880"/>
          </w:tcPr>
          <w:p>
            <w:pPr>
              <w:spacing w:after="40" w:line="240" w:lineRule="auto" w:before="0"/>
              <w:jc w:val="left"/>
            </w:pPr>
            <w:r>
              <w:rPr>
                <w:rFonts w:ascii="Carlito" w:hAnsi="Carlito" w:eastAsia="Carlito"/>
                <w:b w:val="0"/>
                <w:color w:val="000000"/>
                <w:sz w:val="15"/>
              </w:rPr>
              <w:t xml:space="preserve">Кратковременная недоступность одного канала без утраты данных.</w:t>
            </w:r>
          </w:p>
        </w:tc>
        <w:tc>
          <w:tcPr>
            <w:tcMar>
              <w:top w:w="65" w:type="dxa"/>
              <w:start w:w="65" w:type="dxa"/>
              <w:bottom w:w="65" w:type="dxa"/>
              <w:end w:w="65" w:type="dxa"/>
            </w:tcMar>
            <w:vAlign w:val="center"/>
            <w:tcW w:type="dxa" w:w="3096"/>
          </w:tcPr>
          <w:p>
            <w:pPr>
              <w:spacing w:after="40" w:line="240" w:lineRule="auto" w:before="0"/>
              <w:jc w:val="left"/>
            </w:pPr>
            <w:r>
              <w:rPr>
                <w:rFonts w:ascii="Carlito" w:hAnsi="Carlito" w:eastAsia="Carlito"/>
                <w:b w:val="0"/>
                <w:color w:val="000000"/>
                <w:sz w:val="15"/>
              </w:rPr>
              <w:t xml:space="preserve">Восстановление, продление срока для затронутых, публичный журнал.</w:t>
            </w:r>
          </w:p>
        </w:tc>
        <w:tc>
          <w:tcPr>
            <w:tcMar>
              <w:top w:w="65" w:type="dxa"/>
              <w:start w:w="65" w:type="dxa"/>
              <w:bottom w:w="65" w:type="dxa"/>
              <w:end w:w="65" w:type="dxa"/>
            </w:tcMar>
            <w:vAlign w:val="center"/>
            <w:tcW w:type="dxa" w:w="2664"/>
          </w:tcPr>
          <w:p>
            <w:pPr>
              <w:spacing w:after="40" w:line="240" w:lineRule="auto" w:before="0"/>
              <w:jc w:val="left"/>
            </w:pPr>
            <w:r>
              <w:rPr>
                <w:rFonts w:ascii="Carlito" w:hAnsi="Carlito" w:eastAsia="Carlito"/>
                <w:b w:val="0"/>
                <w:color w:val="000000"/>
                <w:sz w:val="15"/>
              </w:rPr>
              <w:t xml:space="preserve">Результат сохраняется после независимой проверки.</w:t>
            </w:r>
          </w:p>
        </w:tc>
      </w:tr>
      <w:tr>
        <w:trPr>
          <w:cantSplit/>
        </w:trPr>
        <w:tc>
          <w:tcPr>
            <w:tcMar>
              <w:top w:w="65" w:type="dxa"/>
              <w:start w:w="65" w:type="dxa"/>
              <w:bottom w:w="65" w:type="dxa"/>
              <w:end w:w="65" w:type="dxa"/>
            </w:tcMar>
            <w:vAlign w:val="center"/>
            <w:shd w:fill="EEF3F8"/>
            <w:tcW w:type="dxa" w:w="1440"/>
          </w:tcPr>
          <w:p>
            <w:pPr>
              <w:spacing w:after="40" w:line="240" w:lineRule="auto" w:before="0"/>
              <w:jc w:val="left"/>
            </w:pPr>
            <w:r>
              <w:rPr>
                <w:rFonts w:ascii="Carlito" w:hAnsi="Carlito" w:eastAsia="Carlito"/>
                <w:b w:val="0"/>
                <w:color w:val="000000"/>
                <w:sz w:val="15"/>
              </w:rPr>
              <w:t xml:space="preserve">B — существенный</w:t>
            </w:r>
          </w:p>
        </w:tc>
        <w:tc>
          <w:tcPr>
            <w:tcMar>
              <w:top w:w="65" w:type="dxa"/>
              <w:start w:w="65" w:type="dxa"/>
              <w:bottom w:w="65" w:type="dxa"/>
              <w:end w:w="65" w:type="dxa"/>
            </w:tcMar>
            <w:vAlign w:val="center"/>
            <w:shd w:fill="EEF3F8"/>
            <w:tcW w:type="dxa" w:w="2880"/>
          </w:tcPr>
          <w:p>
            <w:pPr>
              <w:spacing w:after="40" w:line="240" w:lineRule="auto" w:before="0"/>
              <w:jc w:val="left"/>
            </w:pPr>
            <w:r>
              <w:rPr>
                <w:rFonts w:ascii="Carlito" w:hAnsi="Carlito" w:eastAsia="Carlito"/>
                <w:b w:val="0"/>
                <w:color w:val="000000"/>
                <w:sz w:val="15"/>
              </w:rPr>
              <w:t xml:space="preserve">Неравный доступ территории, ошибка формулировки, утечка технических метаданных.</w:t>
            </w:r>
          </w:p>
        </w:tc>
        <w:tc>
          <w:tcPr>
            <w:tcMar>
              <w:top w:w="65" w:type="dxa"/>
              <w:start w:w="65" w:type="dxa"/>
              <w:bottom w:w="65" w:type="dxa"/>
              <w:end w:w="65" w:type="dxa"/>
            </w:tcMar>
            <w:vAlign w:val="center"/>
            <w:shd w:fill="EEF3F8"/>
            <w:tcW w:type="dxa" w:w="3096"/>
          </w:tcPr>
          <w:p>
            <w:pPr>
              <w:spacing w:after="40" w:line="240" w:lineRule="auto" w:before="0"/>
              <w:jc w:val="left"/>
            </w:pPr>
            <w:r>
              <w:rPr>
                <w:rFonts w:ascii="Carlito" w:hAnsi="Carlito" w:eastAsia="Carlito"/>
                <w:b w:val="0"/>
                <w:color w:val="000000"/>
                <w:sz w:val="15"/>
              </w:rPr>
              <w:t xml:space="preserve">Приостановление затронутой стадии, устранение, повторное подтверждение действий.</w:t>
            </w:r>
          </w:p>
        </w:tc>
        <w:tc>
          <w:tcPr>
            <w:tcMar>
              <w:top w:w="65" w:type="dxa"/>
              <w:start w:w="65" w:type="dxa"/>
              <w:bottom w:w="65" w:type="dxa"/>
              <w:end w:w="65" w:type="dxa"/>
            </w:tcMar>
            <w:vAlign w:val="center"/>
            <w:shd w:fill="EEF3F8"/>
            <w:tcW w:type="dxa" w:w="2664"/>
          </w:tcPr>
          <w:p>
            <w:pPr>
              <w:spacing w:after="40" w:line="240" w:lineRule="auto" w:before="0"/>
              <w:jc w:val="left"/>
            </w:pPr>
            <w:r>
              <w:rPr>
                <w:rFonts w:ascii="Carlito" w:hAnsi="Carlito" w:eastAsia="Carlito"/>
                <w:b w:val="0"/>
                <w:color w:val="000000"/>
                <w:sz w:val="15"/>
              </w:rPr>
              <w:t xml:space="preserve">Решение коллегиального кризисного контура; возможен частичный повтор.</w:t>
            </w:r>
          </w:p>
        </w:tc>
      </w:tr>
      <w:tr>
        <w:trPr>
          <w:cantSplit/>
        </w:trPr>
        <w:tc>
          <w:tcPr>
            <w:tcMar>
              <w:top w:w="65" w:type="dxa"/>
              <w:start w:w="65" w:type="dxa"/>
              <w:bottom w:w="65" w:type="dxa"/>
              <w:end w:w="65" w:type="dxa"/>
            </w:tcMar>
            <w:vAlign w:val="center"/>
            <w:tcW w:type="dxa" w:w="1440"/>
          </w:tcPr>
          <w:p>
            <w:pPr>
              <w:spacing w:after="40" w:line="240" w:lineRule="auto" w:before="0"/>
              <w:jc w:val="left"/>
            </w:pPr>
            <w:r>
              <w:rPr>
                <w:rFonts w:ascii="Carlito" w:hAnsi="Carlito" w:eastAsia="Carlito"/>
                <w:b w:val="0"/>
                <w:color w:val="000000"/>
                <w:sz w:val="15"/>
              </w:rPr>
              <w:t xml:space="preserve">C — критический</w:t>
            </w:r>
          </w:p>
        </w:tc>
        <w:tc>
          <w:tcPr>
            <w:tcMar>
              <w:top w:w="65" w:type="dxa"/>
              <w:start w:w="65" w:type="dxa"/>
              <w:bottom w:w="65" w:type="dxa"/>
              <w:end w:w="65" w:type="dxa"/>
            </w:tcMar>
            <w:vAlign w:val="center"/>
            <w:tcW w:type="dxa" w:w="2880"/>
          </w:tcPr>
          <w:p>
            <w:pPr>
              <w:spacing w:after="40" w:line="240" w:lineRule="auto" w:before="0"/>
              <w:jc w:val="left"/>
            </w:pPr>
            <w:r>
              <w:rPr>
                <w:rFonts w:ascii="Carlito" w:hAnsi="Carlito" w:eastAsia="Carlito"/>
                <w:b w:val="0"/>
                <w:color w:val="000000"/>
                <w:sz w:val="15"/>
              </w:rPr>
              <w:t xml:space="preserve">Компрометация идентификации, невозможность доказать целостность, массовое принуждение.</w:t>
            </w:r>
          </w:p>
        </w:tc>
        <w:tc>
          <w:tcPr>
            <w:tcMar>
              <w:top w:w="65" w:type="dxa"/>
              <w:start w:w="65" w:type="dxa"/>
              <w:bottom w:w="65" w:type="dxa"/>
              <w:end w:w="65" w:type="dxa"/>
            </w:tcMar>
            <w:vAlign w:val="center"/>
            <w:tcW w:type="dxa" w:w="3096"/>
          </w:tcPr>
          <w:p>
            <w:pPr>
              <w:spacing w:after="40" w:line="240" w:lineRule="auto" w:before="0"/>
              <w:jc w:val="left"/>
            </w:pPr>
            <w:r>
              <w:rPr>
                <w:rFonts w:ascii="Carlito" w:hAnsi="Carlito" w:eastAsia="Carlito"/>
                <w:b w:val="0"/>
                <w:color w:val="000000"/>
                <w:sz w:val="15"/>
              </w:rPr>
              <w:t xml:space="preserve">Остановка, сохранение доказательств, уведомление, активация резервного контура.</w:t>
            </w:r>
          </w:p>
        </w:tc>
        <w:tc>
          <w:tcPr>
            <w:tcMar>
              <w:top w:w="65" w:type="dxa"/>
              <w:start w:w="65" w:type="dxa"/>
              <w:bottom w:w="65" w:type="dxa"/>
              <w:end w:w="65" w:type="dxa"/>
            </w:tcMar>
            <w:vAlign w:val="center"/>
            <w:tcW w:type="dxa" w:w="2664"/>
          </w:tcPr>
          <w:p>
            <w:pPr>
              <w:spacing w:after="40" w:line="240" w:lineRule="auto" w:before="0"/>
              <w:jc w:val="left"/>
            </w:pPr>
            <w:r>
              <w:rPr>
                <w:rFonts w:ascii="Carlito" w:hAnsi="Carlito" w:eastAsia="Carlito"/>
                <w:b w:val="0"/>
                <w:color w:val="000000"/>
                <w:sz w:val="15"/>
              </w:rPr>
              <w:t xml:space="preserve">Результат не признаётся без независимого доказательства; при сомнении — повтор.</w:t>
            </w:r>
          </w:p>
        </w:tc>
      </w:tr>
      <w:tr>
        <w:trPr>
          <w:cantSplit/>
        </w:trPr>
        <w:tc>
          <w:tcPr>
            <w:tcMar>
              <w:top w:w="65" w:type="dxa"/>
              <w:start w:w="65" w:type="dxa"/>
              <w:bottom w:w="65" w:type="dxa"/>
              <w:end w:w="65" w:type="dxa"/>
            </w:tcMar>
            <w:vAlign w:val="center"/>
            <w:shd w:fill="EEF3F8"/>
            <w:tcW w:type="dxa" w:w="1440"/>
          </w:tcPr>
          <w:p>
            <w:pPr>
              <w:spacing w:after="40" w:line="240" w:lineRule="auto" w:before="0"/>
              <w:jc w:val="left"/>
            </w:pPr>
            <w:r>
              <w:rPr>
                <w:rFonts w:ascii="Carlito" w:hAnsi="Carlito" w:eastAsia="Carlito"/>
                <w:b w:val="0"/>
                <w:color w:val="000000"/>
                <w:sz w:val="15"/>
              </w:rPr>
              <w:t xml:space="preserve">D — системный</w:t>
            </w:r>
          </w:p>
        </w:tc>
        <w:tc>
          <w:tcPr>
            <w:tcMar>
              <w:top w:w="65" w:type="dxa"/>
              <w:start w:w="65" w:type="dxa"/>
              <w:bottom w:w="65" w:type="dxa"/>
              <w:end w:w="65" w:type="dxa"/>
            </w:tcMar>
            <w:vAlign w:val="center"/>
            <w:shd w:fill="EEF3F8"/>
            <w:tcW w:type="dxa" w:w="2880"/>
          </w:tcPr>
          <w:p>
            <w:pPr>
              <w:spacing w:after="40" w:line="240" w:lineRule="auto" w:before="0"/>
              <w:jc w:val="left"/>
            </w:pPr>
            <w:r>
              <w:rPr>
                <w:rFonts w:ascii="Carlito" w:hAnsi="Carlito" w:eastAsia="Carlito"/>
                <w:b w:val="0"/>
                <w:color w:val="000000"/>
                <w:sz w:val="15"/>
              </w:rPr>
              <w:t xml:space="preserve">Восстановление политических профилей, захват оператора, изменение правил в ходе цикла.</w:t>
            </w:r>
          </w:p>
        </w:tc>
        <w:tc>
          <w:tcPr>
            <w:tcMar>
              <w:top w:w="65" w:type="dxa"/>
              <w:start w:w="65" w:type="dxa"/>
              <w:bottom w:w="65" w:type="dxa"/>
              <w:end w:w="65" w:type="dxa"/>
            </w:tcMar>
            <w:vAlign w:val="center"/>
            <w:shd w:fill="EEF3F8"/>
            <w:tcW w:type="dxa" w:w="3096"/>
          </w:tcPr>
          <w:p>
            <w:pPr>
              <w:spacing w:after="40" w:line="240" w:lineRule="auto" w:before="0"/>
              <w:jc w:val="left"/>
            </w:pPr>
            <w:r>
              <w:rPr>
                <w:rFonts w:ascii="Carlito" w:hAnsi="Carlito" w:eastAsia="Carlito"/>
                <w:b w:val="0"/>
                <w:color w:val="000000"/>
                <w:sz w:val="15"/>
              </w:rPr>
              <w:t xml:space="preserve">Полное прекращение пилота, расследование, удаление или изоляция данных, защита участников.</w:t>
            </w:r>
          </w:p>
        </w:tc>
        <w:tc>
          <w:tcPr>
            <w:tcMar>
              <w:top w:w="65" w:type="dxa"/>
              <w:start w:w="65" w:type="dxa"/>
              <w:bottom w:w="65" w:type="dxa"/>
              <w:end w:w="65" w:type="dxa"/>
            </w:tcMar>
            <w:vAlign w:val="center"/>
            <w:shd w:fill="EEF3F8"/>
            <w:tcW w:type="dxa" w:w="2664"/>
          </w:tcPr>
          <w:p>
            <w:pPr>
              <w:spacing w:after="40" w:line="240" w:lineRule="auto" w:before="0"/>
              <w:jc w:val="left"/>
            </w:pPr>
            <w:r>
              <w:rPr>
                <w:rFonts w:ascii="Carlito" w:hAnsi="Carlito" w:eastAsia="Carlito"/>
                <w:b w:val="0"/>
                <w:color w:val="000000"/>
                <w:sz w:val="15"/>
              </w:rPr>
              <w:t xml:space="preserve">Пилот считается отрицательным; масштабирование запрещено до новой архитектуры.</w:t>
            </w:r>
          </w:p>
        </w:tc>
      </w:tr>
    </w:tbl>
    <w:bookmarkEnd w:id="40"/>
    <w:bookmarkStart w:id="41" w:name="показатели-результата"/>
    <w:p>
      <w:pPr>
        <w:pStyle w:val="Heading2"/>
        <w:keepNext/>
        <w:keepLines/>
        <w:widowControl/>
        <w:spacing w:before="160" w:after="100"/>
      </w:pPr>
      <w:r>
        <w:rPr>
          <w:rFonts w:ascii="Carlito" w:hAnsi="Carlito" w:eastAsia="Carlito"/>
        </w:rPr>
        <w:t xml:space="preserve">15. Показатели результата</w:t>
      </w:r>
    </w:p>
    <w:p>
      <w:pPr>
        <w:pStyle w:val="FirstParagraph"/>
        <w:widowControl/>
        <w:spacing w:line="259" w:lineRule="auto" w:after="90"/>
        <w:ind w:firstLine="360"/>
      </w:pPr>
      <w:r>
        <w:rPr>
          <w:rFonts w:ascii="Carlito" w:hAnsi="Carlito" w:eastAsia="Carlito"/>
        </w:rPr>
        <w:t xml:space="preserve">Показатели устанавливаются до начала и включают не только число участников, но и качество понимания, социальную и территориальную представленность, стоимость, время, число обоснованных жалоб, точность обработки смысла, доверие к базовым выборам, защищённость данных и дополнительную ценность по сравнению с альтернативой.</w:t>
      </w:r>
    </w:p>
    <w:p>
      <w:pPr>
        <w:pStyle w:val="BodyText"/>
        <w:widowControl/>
      </w:pPr>
      <w:r>
        <w:rPr>
          <w:rFonts w:ascii="Carlito" w:hAnsi="Carlito" w:eastAsia="Carlito"/>
        </w:rPr>
        <w:t xml:space="preserve">Не допускается единый итоговый балл, скрывающий провал критического параметра. Кибербезопасность, права, доступность и отсутствие значимого снижения доверия являются пороговыми условиями, а не показателями, которые можно компенсировать высокой явкой.</w:t>
      </w:r>
    </w:p>
    <w:bookmarkEnd w:id="41"/>
    <w:bookmarkStart w:id="42" w:name="X78218289bc476e2b9e12a09ac3ff13a8b9830fb"/>
    <w:p>
      <w:pPr>
        <w:pStyle w:val="Heading2"/>
        <w:keepNext/>
        <w:keepLines/>
        <w:widowControl/>
        <w:spacing w:before="160" w:after="100"/>
      </w:pPr>
      <w:r>
        <w:rPr>
          <w:rFonts w:ascii="Carlito" w:hAnsi="Carlito" w:eastAsia="Carlito"/>
        </w:rPr>
        <w:t xml:space="preserve">16. Запрещённые показатели и способы самооценки</w:t>
      </w:r>
    </w:p>
    <w:p>
      <w:pPr>
        <w:pStyle w:val="FirstParagraph"/>
        <w:widowControl/>
        <w:spacing w:line="259" w:lineRule="auto" w:after="90"/>
        <w:ind w:firstLine="360"/>
      </w:pPr>
      <w:r>
        <w:rPr>
          <w:rFonts w:ascii="Carlito" w:hAnsi="Carlito" w:eastAsia="Carlito"/>
        </w:rPr>
        <w:t xml:space="preserve">Запрещается:</w:t>
      </w:r>
    </w:p>
    <w:p>
      <w:pPr>
        <w:pStyle w:val="Compact"/>
        <w:widowControl/>
        <w:numPr>
          <w:ilvl w:val="0"/>
          <w:numId w:val="1004"/>
        </w:numPr>
        <w:spacing w:line="259" w:lineRule="auto" w:after="90"/>
      </w:pPr>
      <w:r>
        <w:rPr>
          <w:rFonts w:ascii="Carlito" w:hAnsi="Carlito" w:eastAsia="Carlito"/>
        </w:rPr>
        <w:t xml:space="preserve">объявлять успехом сам факт запуска, отсутствие публичного скандала или выполнение календаря;</w:t>
      </w:r>
    </w:p>
    <w:p>
      <w:pPr>
        <w:pStyle w:val="Compact"/>
        <w:widowControl/>
        <w:numPr>
          <w:ilvl w:val="0"/>
          <w:numId w:val="1004"/>
        </w:numPr>
        <w:spacing w:line="259" w:lineRule="auto" w:after="90"/>
      </w:pPr>
      <w:r>
        <w:rPr>
          <w:rFonts w:ascii="Carlito" w:hAnsi="Carlito" w:eastAsia="Carlito"/>
        </w:rPr>
        <w:t xml:space="preserve">заменять общественный эффект количеством мероприятий, публикаций и освоенных средств;</w:t>
      </w:r>
    </w:p>
    <w:p>
      <w:pPr>
        <w:pStyle w:val="Compact"/>
        <w:widowControl/>
        <w:numPr>
          <w:ilvl w:val="0"/>
          <w:numId w:val="1004"/>
        </w:numPr>
        <w:spacing w:line="259" w:lineRule="auto" w:after="90"/>
      </w:pPr>
      <w:r>
        <w:rPr>
          <w:rFonts w:ascii="Carlito" w:hAnsi="Carlito" w:eastAsia="Carlito"/>
        </w:rPr>
        <w:t xml:space="preserve">изменять базовую линию или методику после получения неудобного результата без параллельного расчёта по прежней методике;</w:t>
      </w:r>
    </w:p>
    <w:p>
      <w:pPr>
        <w:pStyle w:val="Compact"/>
        <w:widowControl/>
        <w:numPr>
          <w:ilvl w:val="0"/>
          <w:numId w:val="1004"/>
        </w:numPr>
        <w:spacing w:line="259" w:lineRule="auto" w:after="90"/>
      </w:pPr>
      <w:r>
        <w:rPr>
          <w:rFonts w:ascii="Carlito" w:hAnsi="Carlito" w:eastAsia="Carlito"/>
        </w:rPr>
        <w:t xml:space="preserve">исключать из анализа группы, не воспользовавшиеся каналом из-за барьеров;</w:t>
      </w:r>
    </w:p>
    <w:p>
      <w:pPr>
        <w:pStyle w:val="Compact"/>
        <w:widowControl/>
        <w:numPr>
          <w:ilvl w:val="0"/>
          <w:numId w:val="1004"/>
        </w:numPr>
        <w:spacing w:line="259" w:lineRule="auto" w:after="90"/>
      </w:pPr>
      <w:r>
        <w:rPr>
          <w:rFonts w:ascii="Carlito" w:hAnsi="Carlito" w:eastAsia="Carlito"/>
        </w:rPr>
        <w:t xml:space="preserve">усреднять критические нарушения прав с несущественными операционными успехами;</w:t>
      </w:r>
    </w:p>
    <w:p>
      <w:pPr>
        <w:pStyle w:val="Compact"/>
        <w:widowControl/>
        <w:numPr>
          <w:ilvl w:val="0"/>
          <w:numId w:val="1004"/>
        </w:numPr>
        <w:spacing w:line="259" w:lineRule="auto" w:after="90"/>
      </w:pPr>
      <w:r>
        <w:rPr>
          <w:rFonts w:ascii="Carlito" w:hAnsi="Carlito" w:eastAsia="Carlito"/>
        </w:rPr>
        <w:t xml:space="preserve">использовать только опрос участников, не сравнивая с неучастниками и контрольной альтернативой.</w:t>
      </w:r>
    </w:p>
    <w:bookmarkEnd w:id="42"/>
    <w:bookmarkStart w:id="43" w:name="ворота-готовности"/>
    <w:p>
      <w:pPr>
        <w:pStyle w:val="Heading2"/>
        <w:keepNext/>
        <w:keepLines/>
        <w:widowControl/>
        <w:spacing w:before="160" w:after="100"/>
      </w:pPr>
      <w:r>
        <w:rPr>
          <w:rFonts w:ascii="Carlito" w:hAnsi="Carlito" w:eastAsia="Carlito"/>
        </w:rPr>
        <w:t xml:space="preserve">17. Ворота готовности</w:t>
      </w:r>
    </w:p>
    <w:tbl>
      <w:tblPr>
        <w:tblStyle w:val="TableGrid"/>
        <w:tblW w:type="pct" w:w="5000"/>
        <w:jc w:val="center"/>
        <w:tblLayout w:type="fixed"/>
        <w:tblLook w:firstRow="1" w:lastRow="0" w:firstColumn="0" w:lastColumn="0" w:noHBand="0" w:noVBand="0" w:val="0020"/>
      </w:tblPr>
      <w:tblGrid>
        <w:gridCol w:w="2640"/>
        <w:gridCol w:w="2640"/>
        <w:gridCol w:w="2640"/>
      </w:tblGrid>
      <w:tr>
        <w:trPr>
          <w:tblHeader w:val="true"/>
          <w:tblHeader w:val="true"/>
          <w:cantSplit/>
          <w:tblHeader w:val="true"/>
        </w:trPr>
        <w:tc>
          <w:tcPr>
            <w:tcMar>
              <w:top w:w="65" w:type="dxa"/>
              <w:start w:w="65" w:type="dxa"/>
              <w:bottom w:w="65" w:type="dxa"/>
              <w:end w:w="65" w:type="dxa"/>
            </w:tcMar>
            <w:vAlign w:val="center"/>
            <w:shd w:fill="17365D"/>
            <w:tcW w:type="dxa" w:w="1800"/>
          </w:tcPr>
          <w:p>
            <w:pPr>
              <w:spacing w:after="40" w:line="240" w:lineRule="auto" w:before="0"/>
              <w:jc w:val="center"/>
            </w:pPr>
            <w:r>
              <w:rPr>
                <w:rFonts w:ascii="Carlito" w:hAnsi="Carlito" w:eastAsia="Carlito"/>
                <w:b/>
                <w:color w:val="FFFFFF"/>
                <w:sz w:val="16"/>
              </w:rPr>
              <w:t xml:space="preserve">Ворота</w:t>
            </w:r>
          </w:p>
        </w:tc>
        <w:tc>
          <w:tcPr>
            <w:tcMar>
              <w:top w:w="65" w:type="dxa"/>
              <w:start w:w="65" w:type="dxa"/>
              <w:bottom w:w="65" w:type="dxa"/>
              <w:end w:w="65" w:type="dxa"/>
            </w:tcMar>
            <w:vAlign w:val="center"/>
            <w:shd w:fill="17365D"/>
            <w:tcW w:type="dxa" w:w="5112"/>
          </w:tcPr>
          <w:p>
            <w:pPr>
              <w:spacing w:after="40" w:line="240" w:lineRule="auto" w:before="0"/>
              <w:jc w:val="center"/>
            </w:pPr>
            <w:r>
              <w:rPr>
                <w:rFonts w:ascii="Carlito" w:hAnsi="Carlito" w:eastAsia="Carlito"/>
                <w:b/>
                <w:color w:val="FFFFFF"/>
                <w:sz w:val="16"/>
              </w:rPr>
              <w:t xml:space="preserve">Минимальное условие</w:t>
            </w:r>
          </w:p>
        </w:tc>
        <w:tc>
          <w:tcPr>
            <w:tcMar>
              <w:top w:w="65" w:type="dxa"/>
              <w:start w:w="65" w:type="dxa"/>
              <w:bottom w:w="65" w:type="dxa"/>
              <w:end w:w="65" w:type="dxa"/>
            </w:tcMar>
            <w:vAlign w:val="center"/>
            <w:shd w:fill="17365D"/>
            <w:tcW w:type="dxa" w:w="3168"/>
          </w:tcPr>
          <w:p>
            <w:pPr>
              <w:spacing w:after="40" w:line="240" w:lineRule="auto" w:before="0"/>
              <w:jc w:val="center"/>
            </w:pPr>
            <w:r>
              <w:rPr>
                <w:rFonts w:ascii="Carlito" w:hAnsi="Carlito" w:eastAsia="Carlito"/>
                <w:b/>
                <w:color w:val="FFFFFF"/>
                <w:sz w:val="16"/>
              </w:rPr>
              <w:t xml:space="preserve">Последствие невыполнения</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Правовые</w:t>
            </w:r>
          </w:p>
        </w:tc>
        <w:tc>
          <w:tcPr>
            <w:tcMar>
              <w:top w:w="65" w:type="dxa"/>
              <w:start w:w="65" w:type="dxa"/>
              <w:bottom w:w="65" w:type="dxa"/>
              <w:end w:w="65" w:type="dxa"/>
            </w:tcMar>
            <w:vAlign w:val="center"/>
            <w:tcW w:type="dxa" w:w="5112"/>
          </w:tcPr>
          <w:p>
            <w:pPr>
              <w:spacing w:after="40" w:line="240" w:lineRule="auto" w:before="0"/>
              <w:jc w:val="left"/>
            </w:pPr>
            <w:r>
              <w:rPr>
                <w:rFonts w:ascii="Carlito" w:hAnsi="Carlito" w:eastAsia="Carlito"/>
                <w:b w:val="0"/>
                <w:color w:val="000000"/>
                <w:sz w:val="16"/>
              </w:rPr>
              <w:t xml:space="preserve">Закрыты вопросы компетенции, прав, обжалования и статуса результата.</w:t>
            </w:r>
          </w:p>
        </w:tc>
        <w:tc>
          <w:tcPr>
            <w:tcMar>
              <w:top w:w="65" w:type="dxa"/>
              <w:start w:w="65" w:type="dxa"/>
              <w:bottom w:w="65" w:type="dxa"/>
              <w:end w:w="65" w:type="dxa"/>
            </w:tcMar>
            <w:vAlign w:val="center"/>
            <w:tcW w:type="dxa" w:w="3168"/>
          </w:tcPr>
          <w:p>
            <w:pPr>
              <w:spacing w:after="40" w:line="240" w:lineRule="auto" w:before="0"/>
              <w:jc w:val="left"/>
            </w:pPr>
            <w:r>
              <w:rPr>
                <w:rFonts w:ascii="Carlito" w:hAnsi="Carlito" w:eastAsia="Carlito"/>
                <w:b w:val="0"/>
                <w:color w:val="000000"/>
                <w:sz w:val="16"/>
              </w:rPr>
              <w:t xml:space="preserve">Запуск или переход запрещён.</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Институциональные</w:t>
            </w:r>
          </w:p>
        </w:tc>
        <w:tc>
          <w:tcPr>
            <w:tcMar>
              <w:top w:w="65" w:type="dxa"/>
              <w:start w:w="65" w:type="dxa"/>
              <w:bottom w:w="65" w:type="dxa"/>
              <w:end w:w="65" w:type="dxa"/>
            </w:tcMar>
            <w:vAlign w:val="center"/>
            <w:shd w:fill="EEF3F8"/>
            <w:tcW w:type="dxa" w:w="5112"/>
          </w:tcPr>
          <w:p>
            <w:pPr>
              <w:spacing w:after="40" w:line="240" w:lineRule="auto" w:before="0"/>
              <w:jc w:val="left"/>
            </w:pPr>
            <w:r>
              <w:rPr>
                <w:rFonts w:ascii="Carlito" w:hAnsi="Carlito" w:eastAsia="Carlito"/>
                <w:b w:val="0"/>
                <w:color w:val="000000"/>
                <w:sz w:val="16"/>
              </w:rPr>
              <w:t xml:space="preserve">Назначены независимые функции; нет единственной точки контроля.</w:t>
            </w:r>
          </w:p>
        </w:tc>
        <w:tc>
          <w:tcPr>
            <w:tcMar>
              <w:top w:w="65" w:type="dxa"/>
              <w:start w:w="65" w:type="dxa"/>
              <w:bottom w:w="65" w:type="dxa"/>
              <w:end w:w="65" w:type="dxa"/>
            </w:tcMar>
            <w:vAlign w:val="center"/>
            <w:shd w:fill="EEF3F8"/>
            <w:tcW w:type="dxa" w:w="3168"/>
          </w:tcPr>
          <w:p>
            <w:pPr>
              <w:spacing w:after="40" w:line="240" w:lineRule="auto" w:before="0"/>
              <w:jc w:val="left"/>
            </w:pPr>
            <w:r>
              <w:rPr>
                <w:rFonts w:ascii="Carlito" w:hAnsi="Carlito" w:eastAsia="Carlito"/>
                <w:b w:val="0"/>
                <w:color w:val="000000"/>
                <w:sz w:val="16"/>
              </w:rPr>
              <w:t xml:space="preserve">Перераспределение функций или прекращение.</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Финансовые</w:t>
            </w:r>
          </w:p>
        </w:tc>
        <w:tc>
          <w:tcPr>
            <w:tcMar>
              <w:top w:w="65" w:type="dxa"/>
              <w:start w:w="65" w:type="dxa"/>
              <w:bottom w:w="65" w:type="dxa"/>
              <w:end w:w="65" w:type="dxa"/>
            </w:tcMar>
            <w:vAlign w:val="center"/>
            <w:tcW w:type="dxa" w:w="5112"/>
          </w:tcPr>
          <w:p>
            <w:pPr>
              <w:spacing w:after="40" w:line="240" w:lineRule="auto" w:before="0"/>
              <w:jc w:val="left"/>
            </w:pPr>
            <w:r>
              <w:rPr>
                <w:rFonts w:ascii="Carlito" w:hAnsi="Carlito" w:eastAsia="Carlito"/>
                <w:b w:val="0"/>
                <w:color w:val="000000"/>
                <w:sz w:val="16"/>
              </w:rPr>
              <w:t xml:space="preserve">Подтверждена полная стоимость, включая доступность, безопасность и завершение.</w:t>
            </w:r>
          </w:p>
        </w:tc>
        <w:tc>
          <w:tcPr>
            <w:tcMar>
              <w:top w:w="65" w:type="dxa"/>
              <w:start w:w="65" w:type="dxa"/>
              <w:bottom w:w="65" w:type="dxa"/>
              <w:end w:w="65" w:type="dxa"/>
            </w:tcMar>
            <w:vAlign w:val="center"/>
            <w:tcW w:type="dxa" w:w="3168"/>
          </w:tcPr>
          <w:p>
            <w:pPr>
              <w:spacing w:after="40" w:line="240" w:lineRule="auto" w:before="0"/>
              <w:jc w:val="left"/>
            </w:pPr>
            <w:r>
              <w:rPr>
                <w:rFonts w:ascii="Carlito" w:hAnsi="Carlito" w:eastAsia="Carlito"/>
                <w:b w:val="0"/>
                <w:color w:val="000000"/>
                <w:sz w:val="16"/>
              </w:rPr>
              <w:t xml:space="preserve">Сужение или перенос; недофинансированный цикл не проводится.</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Цифровые</w:t>
            </w:r>
          </w:p>
        </w:tc>
        <w:tc>
          <w:tcPr>
            <w:tcMar>
              <w:top w:w="65" w:type="dxa"/>
              <w:start w:w="65" w:type="dxa"/>
              <w:bottom w:w="65" w:type="dxa"/>
              <w:end w:w="65" w:type="dxa"/>
            </w:tcMar>
            <w:vAlign w:val="center"/>
            <w:shd w:fill="EEF3F8"/>
            <w:tcW w:type="dxa" w:w="5112"/>
          </w:tcPr>
          <w:p>
            <w:pPr>
              <w:spacing w:after="40" w:line="240" w:lineRule="auto" w:before="0"/>
              <w:jc w:val="left"/>
            </w:pPr>
            <w:r>
              <w:rPr>
                <w:rFonts w:ascii="Carlito" w:hAnsi="Carlito" w:eastAsia="Carlito"/>
                <w:b w:val="0"/>
                <w:color w:val="000000"/>
                <w:sz w:val="16"/>
              </w:rPr>
              <w:t xml:space="preserve">Пройдены независимые тесты, воспроизводимая сборка, резерв и план инцидента.</w:t>
            </w:r>
          </w:p>
        </w:tc>
        <w:tc>
          <w:tcPr>
            <w:tcMar>
              <w:top w:w="65" w:type="dxa"/>
              <w:start w:w="65" w:type="dxa"/>
              <w:bottom w:w="65" w:type="dxa"/>
              <w:end w:w="65" w:type="dxa"/>
            </w:tcMar>
            <w:vAlign w:val="center"/>
            <w:shd w:fill="EEF3F8"/>
            <w:tcW w:type="dxa" w:w="3168"/>
          </w:tcPr>
          <w:p>
            <w:pPr>
              <w:spacing w:after="40" w:line="240" w:lineRule="auto" w:before="0"/>
              <w:jc w:val="left"/>
            </w:pPr>
            <w:r>
              <w:rPr>
                <w:rFonts w:ascii="Carlito" w:hAnsi="Carlito" w:eastAsia="Carlito"/>
                <w:b w:val="0"/>
                <w:color w:val="000000"/>
                <w:sz w:val="16"/>
              </w:rPr>
              <w:t xml:space="preserve">Цифровой модуль исключается либо пилот откладывается.</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Социальные</w:t>
            </w:r>
          </w:p>
        </w:tc>
        <w:tc>
          <w:tcPr>
            <w:tcMar>
              <w:top w:w="65" w:type="dxa"/>
              <w:start w:w="65" w:type="dxa"/>
              <w:bottom w:w="65" w:type="dxa"/>
              <w:end w:w="65" w:type="dxa"/>
            </w:tcMar>
            <w:vAlign w:val="center"/>
            <w:tcW w:type="dxa" w:w="5112"/>
          </w:tcPr>
          <w:p>
            <w:pPr>
              <w:spacing w:after="40" w:line="240" w:lineRule="auto" w:before="0"/>
              <w:jc w:val="left"/>
            </w:pPr>
            <w:r>
              <w:rPr>
                <w:rFonts w:ascii="Carlito" w:hAnsi="Carlito" w:eastAsia="Carlito"/>
                <w:b w:val="0"/>
                <w:color w:val="000000"/>
                <w:sz w:val="16"/>
              </w:rPr>
              <w:t xml:space="preserve">Каналы доступны, барьеры измерены, предусмотрена защита уязвимых групп.</w:t>
            </w:r>
          </w:p>
        </w:tc>
        <w:tc>
          <w:tcPr>
            <w:tcMar>
              <w:top w:w="65" w:type="dxa"/>
              <w:start w:w="65" w:type="dxa"/>
              <w:bottom w:w="65" w:type="dxa"/>
              <w:end w:w="65" w:type="dxa"/>
            </w:tcMar>
            <w:vAlign w:val="center"/>
            <w:tcW w:type="dxa" w:w="3168"/>
          </w:tcPr>
          <w:p>
            <w:pPr>
              <w:spacing w:after="40" w:line="240" w:lineRule="auto" w:before="0"/>
              <w:jc w:val="left"/>
            </w:pPr>
            <w:r>
              <w:rPr>
                <w:rFonts w:ascii="Carlito" w:hAnsi="Carlito" w:eastAsia="Carlito"/>
                <w:b w:val="0"/>
                <w:color w:val="000000"/>
                <w:sz w:val="16"/>
              </w:rPr>
              <w:t xml:space="preserve">Результат не получает статус репрезентативного.</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Доказательные</w:t>
            </w:r>
          </w:p>
        </w:tc>
        <w:tc>
          <w:tcPr>
            <w:tcMar>
              <w:top w:w="65" w:type="dxa"/>
              <w:start w:w="65" w:type="dxa"/>
              <w:bottom w:w="65" w:type="dxa"/>
              <w:end w:w="65" w:type="dxa"/>
            </w:tcMar>
            <w:vAlign w:val="center"/>
            <w:shd w:fill="EEF3F8"/>
            <w:tcW w:type="dxa" w:w="5112"/>
          </w:tcPr>
          <w:p>
            <w:pPr>
              <w:spacing w:after="40" w:line="240" w:lineRule="auto" w:before="0"/>
              <w:jc w:val="left"/>
            </w:pPr>
            <w:r>
              <w:rPr>
                <w:rFonts w:ascii="Carlito" w:hAnsi="Carlito" w:eastAsia="Carlito"/>
                <w:b w:val="0"/>
                <w:color w:val="000000"/>
                <w:sz w:val="16"/>
              </w:rPr>
              <w:t xml:space="preserve">Предварительно зарегистрированы метрики и контрольная альтернатива.</w:t>
            </w:r>
          </w:p>
        </w:tc>
        <w:tc>
          <w:tcPr>
            <w:tcMar>
              <w:top w:w="65" w:type="dxa"/>
              <w:start w:w="65" w:type="dxa"/>
              <w:bottom w:w="65" w:type="dxa"/>
              <w:end w:w="65" w:type="dxa"/>
            </w:tcMar>
            <w:vAlign w:val="center"/>
            <w:shd w:fill="EEF3F8"/>
            <w:tcW w:type="dxa" w:w="3168"/>
          </w:tcPr>
          <w:p>
            <w:pPr>
              <w:spacing w:after="40" w:line="240" w:lineRule="auto" w:before="0"/>
              <w:jc w:val="left"/>
            </w:pPr>
            <w:r>
              <w:rPr>
                <w:rFonts w:ascii="Carlito" w:hAnsi="Carlito" w:eastAsia="Carlito"/>
                <w:b w:val="0"/>
                <w:color w:val="000000"/>
                <w:sz w:val="16"/>
              </w:rPr>
              <w:t xml:space="preserve">Оценка не может служить основанием масштабирования.</w:t>
            </w:r>
          </w:p>
        </w:tc>
      </w:tr>
    </w:tbl>
    <w:bookmarkEnd w:id="43"/>
    <w:bookmarkStart w:id="44" w:name="X372c9c13f439a84d41efa44262a08edb34f358d"/>
    <w:p>
      <w:pPr>
        <w:pStyle w:val="Heading2"/>
        <w:keepNext/>
        <w:keepLines/>
        <w:widowControl/>
        <w:spacing w:before="160" w:after="100"/>
      </w:pPr>
      <w:r>
        <w:rPr>
          <w:rFonts w:ascii="Carlito" w:hAnsi="Carlito" w:eastAsia="Carlito"/>
        </w:rPr>
        <w:t xml:space="preserve">18. Автоматическое прекращение и запрет вечного пилота</w:t>
      </w:r>
    </w:p>
    <w:p>
      <w:pPr>
        <w:pStyle w:val="FirstParagraph"/>
        <w:widowControl/>
        <w:spacing w:line="259" w:lineRule="auto" w:after="90"/>
        <w:ind w:firstLine="360"/>
      </w:pPr>
      <w:r>
        <w:rPr>
          <w:rFonts w:ascii="Carlito" w:hAnsi="Carlito" w:eastAsia="Carlito"/>
        </w:rPr>
        <w:t xml:space="preserve">Пилот, временный орган, специальное финансирование и исключительные полномочия прекращаются в дату, указанную в законе или паспорте пилота. Продление возможно только новым публичным актом того же уровня после независимого отчёта; оно не может осуществляться оператором, правительственным распоряжением или ссылкой на незавершённую оценку.</w:t>
      </w:r>
    </w:p>
    <w:p>
      <w:pPr>
        <w:pStyle w:val="BodyText"/>
        <w:widowControl/>
      </w:pPr>
      <w:r>
        <w:rPr>
          <w:rFonts w:ascii="Carlito" w:hAnsi="Carlito" w:eastAsia="Carlito"/>
        </w:rPr>
        <w:t xml:space="preserve">Повторное продление по одному и тому же основанию допускается только при доказанной технической необходимости и в пределах общего максимального срока. Фактическое продолжение после даты прекращения является превышением полномочий.</w:t>
      </w:r>
    </w:p>
    <w:bookmarkEnd w:id="44"/>
    <w:bookmarkStart w:id="45" w:name="X0e58751a36bfa1956c3bc4114559bcbdf4242be"/>
    <w:p>
      <w:pPr>
        <w:widowControl/>
      </w:pPr>
      <w:r>
        <w:t>Правило автоматического прекращения по истечении срока применяется функционально: переименование органа, повторный эксперимент либо перенос тех же функций другому субъекту считаются продолжением и включаются в общий кумулятивный срок.</w:t>
      </w:r>
    </w:p>
    <w:p>
      <w:pPr>
        <w:widowControl/>
      </w:pPr>
      <w:r>
        <w:t>При утрате кворума институциональной независимости пилот прекращает выдавать официальный результат. Неполностью профинансированная критическая функция приостанавливается, а не имитируется.</w:t>
      </w:r>
    </w:p>
    <w:p>
      <w:pPr>
        <w:pStyle w:val="Heading2"/>
        <w:keepNext/>
        <w:keepLines/>
        <w:widowControl/>
        <w:spacing w:before="160" w:after="100"/>
      </w:pPr>
      <w:r>
        <w:rPr>
          <w:rFonts w:ascii="Carlito" w:hAnsi="Carlito" w:eastAsia="Carlito"/>
        </w:rPr>
        <w:t xml:space="preserve">19. Отрицательный, неопределённый и смешанный результат</w:t>
      </w:r>
    </w:p>
    <w:p>
      <w:pPr>
        <w:pStyle w:val="FirstParagraph"/>
        <w:widowControl/>
        <w:spacing w:line="259" w:lineRule="auto" w:after="90"/>
        <w:ind w:firstLine="360"/>
      </w:pPr>
      <w:r>
        <w:rPr>
          <w:rFonts w:ascii="Carlito" w:hAnsi="Carlito" w:eastAsia="Carlito"/>
        </w:rPr>
        <w:t xml:space="preserve">Отрицательный пилот не рассматривается как политический провал инициаторов. Он означает, что заявленная архитектура не доказала преимущество или создала неприемлемый риск. Неопределённый результат не толкуется в пользу продолжения.</w:t>
      </w:r>
    </w:p>
    <w:p>
      <w:pPr>
        <w:pStyle w:val="BodyText"/>
        <w:widowControl/>
      </w:pPr>
      <w:r>
        <w:rPr>
          <w:rFonts w:ascii="Carlito" w:hAnsi="Carlito" w:eastAsia="Carlito"/>
        </w:rPr>
        <w:t xml:space="preserve">Смешанный результат позволяет сохранить только модули, отдельно подтвердившие ценность и безопасность. Полный цикл не масштабируется по совокупной средней оценке, если его критический узел не выдержал проверку.</w:t>
      </w:r>
    </w:p>
    <w:bookmarkEnd w:id="45"/>
    <w:bookmarkStart w:id="46" w:name="обжалование"/>
    <w:p>
      <w:pPr>
        <w:pStyle w:val="Heading2"/>
        <w:keepNext/>
        <w:keepLines/>
        <w:widowControl/>
        <w:spacing w:before="160" w:after="100"/>
      </w:pPr>
      <w:r>
        <w:rPr>
          <w:rFonts w:ascii="Carlito" w:hAnsi="Carlito" w:eastAsia="Carlito"/>
        </w:rPr>
        <w:t xml:space="preserve">20. Обжалование</w:t>
      </w:r>
    </w:p>
    <w:p>
      <w:pPr>
        <w:pStyle w:val="FirstParagraph"/>
        <w:widowControl/>
        <w:spacing w:line="259" w:lineRule="auto" w:after="90"/>
        <w:ind w:firstLine="360"/>
      </w:pPr>
      <w:r>
        <w:rPr>
          <w:rFonts w:ascii="Carlito" w:hAnsi="Carlito" w:eastAsia="Carlito"/>
        </w:rPr>
        <w:t xml:space="preserve">До запуска определяется единое окно ускоренного обжалования решений о допуске, формулировке, данных, доступности и подсчёте. Жалобы, относящиеся к одной стадии, консолидируются и разрешаются до перехода к следующей, если промедление не создаёт больший ущерб правам.</w:t>
      </w:r>
    </w:p>
    <w:p>
      <w:pPr>
        <w:pStyle w:val="BodyText"/>
        <w:widowControl/>
      </w:pPr>
      <w:r>
        <w:rPr>
          <w:rFonts w:ascii="Carlito" w:hAnsi="Carlito" w:eastAsia="Carlito"/>
        </w:rPr>
        <w:t xml:space="preserve">Суд или иной независимый орган вправе отменить процедурное решение, обязать опубликовать информацию, повторить стадию или остановить пилот. Он не заменяет политическую оценку полезности, кроме проверки явной произвольности, равенства и соответствия закону.</w:t>
      </w:r>
    </w:p>
    <w:bookmarkEnd w:id="46"/>
    <w:bookmarkStart w:id="47" w:name="ответственность"/>
    <w:p>
      <w:pPr>
        <w:widowControl/>
      </w:pPr>
      <w:r>
        <w:t>Ускоренная жалоба обеспечивает доступ к материалам, минимальный срок подготовки и приостанавливающую защиту от необратимого вреда. Для секретных данных назначается независимый допущенный защитник.</w:t>
      </w:r>
    </w:p>
    <w:p>
      <w:pPr>
        <w:pStyle w:val="Heading2"/>
        <w:keepNext/>
        <w:keepLines/>
        <w:widowControl/>
        <w:spacing w:before="160" w:after="100"/>
      </w:pPr>
      <w:r>
        <w:rPr>
          <w:rFonts w:ascii="Carlito" w:hAnsi="Carlito" w:eastAsia="Carlito"/>
        </w:rPr>
        <w:t xml:space="preserve">21. Ответственность</w:t>
      </w:r>
    </w:p>
    <w:p>
      <w:pPr>
        <w:pStyle w:val="FirstParagraph"/>
        <w:widowControl/>
        <w:spacing w:line="259" w:lineRule="auto" w:after="90"/>
        <w:ind w:firstLine="360"/>
      </w:pPr>
      <w:r>
        <w:rPr>
          <w:rFonts w:ascii="Carlito" w:hAnsi="Carlito" w:eastAsia="Carlito"/>
        </w:rPr>
        <w:t xml:space="preserve">Ответственность наступает за запуск без правового основания, сокрытие критического инцидента, изменение предварительно зарегистрированных критериев без раскрытия, незаконное связывание данных, давление на участников, фальсификацию оценки, неисполнение автоматического прекращения и расходование средств вне утверждённого периметра.</w:t>
      </w:r>
    </w:p>
    <w:p>
      <w:pPr>
        <w:pStyle w:val="BodyText"/>
        <w:widowControl/>
      </w:pPr>
      <w:r>
        <w:rPr>
          <w:rFonts w:ascii="Carlito" w:hAnsi="Carlito" w:eastAsia="Carlito"/>
        </w:rPr>
        <w:t xml:space="preserve">Добросовестный отрицательный вывод, методологическое разногласие или ошибка прогноза сами по себе не являются правонарушением, если соблюдены профессиональные стандарты и раскрыты ограничения.</w:t>
      </w:r>
    </w:p>
    <w:bookmarkEnd w:id="47"/>
    <w:bookmarkStart w:id="48" w:name="чрезвычайные-обстоятельства"/>
    <w:p>
      <w:pPr>
        <w:pStyle w:val="Heading2"/>
        <w:keepNext/>
        <w:keepLines/>
        <w:widowControl/>
        <w:spacing w:before="160" w:after="100"/>
      </w:pPr>
      <w:r>
        <w:rPr>
          <w:rFonts w:ascii="Carlito" w:hAnsi="Carlito" w:eastAsia="Carlito"/>
        </w:rPr>
        <w:t xml:space="preserve">22. Чрезвычайные обстоятельства</w:t>
      </w:r>
    </w:p>
    <w:p>
      <w:pPr>
        <w:pStyle w:val="FirstParagraph"/>
        <w:widowControl/>
        <w:spacing w:line="259" w:lineRule="auto" w:after="90"/>
        <w:ind w:firstLine="360"/>
      </w:pPr>
      <w:r>
        <w:rPr>
          <w:rFonts w:ascii="Carlito" w:hAnsi="Carlito" w:eastAsia="Carlito"/>
        </w:rPr>
        <w:t xml:space="preserve">Чрезвычайное положение, эпидемия, военный конфликт или крупный киберинцидент не превращают цифровой канал в единственно допустимый и не отменяют несвязываемость данных. Пилот может быть приостановлен, сужен или прекращён; сохранение календаря не имеет приоритета перед правами и достоверностью результата.</w:t>
      </w:r>
    </w:p>
    <w:bookmarkEnd w:id="48"/>
    <w:bookmarkStart w:id="49" w:name="X0bdff379a792f099d9b4848c1d5ad30087846e6"/>
    <w:p>
      <w:pPr>
        <w:pStyle w:val="Heading2"/>
        <w:keepNext/>
        <w:keepLines/>
        <w:widowControl/>
        <w:spacing w:before="160" w:after="100"/>
      </w:pPr>
      <w:r>
        <w:rPr>
          <w:rFonts w:ascii="Carlito" w:hAnsi="Carlito" w:eastAsia="Carlito"/>
        </w:rPr>
        <w:t xml:space="preserve">23. Наиболее сильные возражения и встроенные ответы</w:t>
      </w:r>
    </w:p>
    <w:p>
      <w:pPr>
        <w:pStyle w:val="FirstParagraph"/>
        <w:widowControl/>
        <w:spacing w:line="259" w:lineRule="auto" w:after="90"/>
        <w:ind w:firstLine="360"/>
      </w:pPr>
      <w:r>
        <w:rPr>
          <w:rFonts w:ascii="Carlito" w:hAnsi="Carlito" w:eastAsia="Carlito"/>
        </w:rPr>
        <w:t xml:space="preserve">Возражение о том, что критерии пилота могут быть настроены под желаемый вывод, закрывается предварительной регистрацией, независимым оценщиком, неизменяемым журналом методик и обязательным раскрытием всех отклонений. Возражение о вечном пилоте закрывается автоматическим прекращением и необходимостью нового акта. Возражение о переносе расходов на муниципалитет закрывается согласием компетентного уровня и полным финансированием. Риск селективного выбора территории ограничивается публичными критериями и жеребьёвкой при равенстве.</w:t>
      </w:r>
    </w:p>
    <w:bookmarkEnd w:id="49"/>
    <w:bookmarkStart w:id="50" w:name="связь-с-другими-главами"/>
    <w:p>
      <w:pPr>
        <w:pStyle w:val="Heading2"/>
        <w:keepNext/>
        <w:keepLines/>
        <w:widowControl/>
        <w:spacing w:before="160" w:after="100"/>
      </w:pPr>
      <w:r>
        <w:rPr>
          <w:rFonts w:ascii="Carlito" w:hAnsi="Carlito" w:eastAsia="Carlito"/>
        </w:rPr>
        <w:t xml:space="preserve">24. Связь с другими главами</w:t>
      </w:r>
    </w:p>
    <w:p>
      <w:pPr>
        <w:pStyle w:val="FirstParagraph"/>
        <w:widowControl/>
        <w:spacing w:line="259" w:lineRule="auto" w:after="90"/>
        <w:ind w:firstLine="360"/>
      </w:pPr>
      <w:r>
        <w:rPr>
          <w:rFonts w:ascii="Carlito" w:hAnsi="Carlito" w:eastAsia="Carlito"/>
        </w:rPr>
        <w:t xml:space="preserve">Настоящая глава применяется совместно с главами о правовой природе, компетенциях, институциональной системе, доступности, голосовании, финансировании, кибербезопасности и данных. При конфликте приоритет имеют права человека, конституционные компетенции и запрет масштабирования без ворот готовности.</w:t>
      </w:r>
    </w:p>
    <w:bookmarkEnd w:id="50"/>
    <w:bookmarkStart w:id="51" w:name="вывод"/>
    <w:p>
      <w:pPr>
        <w:pStyle w:val="Heading2"/>
        <w:keepNext/>
        <w:keepLines/>
        <w:widowControl/>
        <w:spacing w:before="160" w:after="100"/>
      </w:pPr>
      <w:r>
        <w:rPr>
          <w:rFonts w:ascii="Carlito" w:hAnsi="Carlito" w:eastAsia="Carlito"/>
        </w:rPr>
        <w:t xml:space="preserve">25. Вывод</w:t>
      </w:r>
    </w:p>
    <w:p>
      <w:pPr>
        <w:pStyle w:val="FirstParagraph"/>
        <w:widowControl/>
        <w:spacing w:line="259" w:lineRule="auto" w:after="90"/>
        <w:ind w:firstLine="360"/>
      </w:pPr>
      <w:r>
        <w:rPr>
          <w:rFonts w:ascii="Carlito" w:hAnsi="Carlito" w:eastAsia="Carlito"/>
        </w:rPr>
        <w:t xml:space="preserve">Поэтапность не является способом отсрочить основную идею Доктрины. Это условие её честности: общество не должно получать институциональное обещание, безопасность, эффективность и стоимость которого ещё не доказаны. Положительный пилот открывает следующий вопрос; отрицательный — обязан остановить или изменить архитектуру.</w:t>
      </w:r>
    </w:p>
    <w:bookmarkEnd w:id="51"/>
    <w:bookmarkEnd w:id="52"/>
    <w:bookmarkStart w:id="76" w:name="X2a5c26af7100853bebf6e93719caa73b458568c"/>
    <w:p>
      <w:pPr>
        <w:pStyle w:val="Heading1"/>
        <w:keepNext/>
        <w:keepLines/>
        <w:pageBreakBefore/>
        <w:widowControl/>
        <w:spacing w:before="0" w:after="160"/>
        <w:pBdr>
          <w:bottom w:val="single" w:sz="5" w:space="4" w:color="B4C6E7"/>
        </w:pBdr>
      </w:pPr>
      <w:r>
        <w:rPr>
          <w:rFonts w:ascii="Carlito" w:hAnsi="Carlito" w:eastAsia="Carlito"/>
        </w:rPr>
        <w:t xml:space="preserve">Глава XXXII. Конституционное, законодательное и организационное закрепление Доктрины</w:t>
      </w:r>
    </w:p>
    <w:p>
      <w:pPr>
        <w:pStyle w:val="BlockText"/>
        <w:widowControl/>
        <w:spacing w:line="259" w:lineRule="auto" w:after="90"/>
        <w:ind w:firstLine="360"/>
      </w:pPr>
      <w:r>
        <w:rPr>
          <w:rFonts w:ascii="Carlito" w:hAnsi="Carlito" w:eastAsia="Carlito"/>
          <w:b/>
          <w:bCs/>
        </w:rPr>
        <w:t xml:space="preserve">Общественное поручение действует внутри конституционного порядка, а не вместо него. Ни общественная поддержка, ни декларация кандидата, ни результат пилота сами по себе не изменяют компетенцию, бюджет, права или иерархию источников права.</w:t>
      </w:r>
    </w:p>
    <w:bookmarkStart w:id="53" w:name="предмет-и-цель-главы-1"/>
    <w:p>
      <w:pPr>
        <w:pStyle w:val="Heading2"/>
        <w:keepNext/>
        <w:keepLines/>
        <w:widowControl/>
        <w:spacing w:before="160" w:after="100"/>
      </w:pPr>
      <w:r>
        <w:rPr>
          <w:rFonts w:ascii="Carlito" w:hAnsi="Carlito" w:eastAsia="Carlito"/>
        </w:rPr>
        <w:t xml:space="preserve">1. Предмет и цель главы</w:t>
      </w:r>
    </w:p>
    <w:p>
      <w:pPr>
        <w:pStyle w:val="FirstParagraph"/>
        <w:widowControl/>
        <w:spacing w:line="259" w:lineRule="auto" w:after="90"/>
        <w:ind w:firstLine="360"/>
      </w:pPr>
      <w:r>
        <w:rPr>
          <w:rFonts w:ascii="Carlito" w:hAnsi="Carlito" w:eastAsia="Carlito"/>
        </w:rPr>
        <w:t xml:space="preserve">Настоящая глава определяет, какие элементы универсальной Доктрины требуют конституционного, законодательного, организационного или методического закрепления. Её цель — исключить как обход существующих демократических процедур, так и превращение ключевых гарантий в изменяемые по усмотрению оператора технические правила.</w:t>
      </w:r>
    </w:p>
    <w:bookmarkEnd w:id="53"/>
    <w:bookmarkStart w:id="54" w:name="статус-универсальной-доктрины"/>
    <w:p>
      <w:pPr>
        <w:pStyle w:val="Heading2"/>
        <w:keepNext/>
        <w:keepLines/>
        <w:widowControl/>
        <w:spacing w:before="160" w:after="100"/>
      </w:pPr>
      <w:r>
        <w:rPr>
          <w:rFonts w:ascii="Carlito" w:hAnsi="Carlito" w:eastAsia="Carlito"/>
        </w:rPr>
        <w:t xml:space="preserve">2. Статус универсальной Доктрины</w:t>
      </w:r>
    </w:p>
    <w:p>
      <w:pPr>
        <w:pStyle w:val="FirstParagraph"/>
        <w:widowControl/>
        <w:spacing w:line="259" w:lineRule="auto" w:after="90"/>
        <w:ind w:firstLine="360"/>
      </w:pPr>
      <w:r>
        <w:rPr>
          <w:rFonts w:ascii="Carlito" w:hAnsi="Carlito" w:eastAsia="Carlito"/>
        </w:rPr>
        <w:t xml:space="preserve">Универсальная Доктрина является модельным нормативно-политическим документом. Она формулирует принципы, обязательные свойства и допустимые варианты национальной реализации, но не является непосредственно действующим источником права в конкретной стране до принятия соответствующего национального акта.</w:t>
      </w:r>
    </w:p>
    <w:p>
      <w:pPr>
        <w:pStyle w:val="BodyText"/>
        <w:widowControl/>
      </w:pPr>
      <w:r>
        <w:rPr>
          <w:rFonts w:ascii="Carlito" w:hAnsi="Carlito" w:eastAsia="Carlito"/>
        </w:rPr>
        <w:t xml:space="preserve">Национальная адаптация не вправе ссылаться на универсальность как на основание отступления от Конституции, международных обязательств, прав человека, федерализма, местного самоуправления или свободного мандата.</w:t>
      </w:r>
    </w:p>
    <w:bookmarkEnd w:id="54"/>
    <w:bookmarkStart w:id="55" w:name="иерархия-правового-закрепления"/>
    <w:p>
      <w:pPr>
        <w:pStyle w:val="Heading2"/>
        <w:keepNext/>
        <w:keepLines/>
        <w:widowControl/>
        <w:spacing w:before="160" w:after="100"/>
      </w:pPr>
      <w:r>
        <w:rPr>
          <w:rFonts w:ascii="Carlito" w:hAnsi="Carlito" w:eastAsia="Carlito"/>
        </w:rPr>
        <w:t xml:space="preserve">3. Иерархия правового закрепления</w:t>
      </w:r>
    </w:p>
    <w:tbl>
      <w:tblPr>
        <w:tblStyle w:val="TableGrid"/>
        <w:tblW w:type="pct" w:w="5000"/>
        <w:jc w:val="center"/>
        <w:tblLayout w:type="fixed"/>
        <w:tblLook w:firstRow="1" w:lastRow="0" w:firstColumn="0" w:lastColumn="0" w:noHBand="0" w:noVBand="0" w:val="0020"/>
      </w:tblPr>
      <w:tblGrid>
        <w:gridCol w:w="2640"/>
        <w:gridCol w:w="2640"/>
        <w:gridCol w:w="2640"/>
      </w:tblGrid>
      <w:tr>
        <w:trPr>
          <w:tblHeader w:val="true"/>
          <w:tblHeader w:val="true"/>
          <w:cantSplit/>
          <w:tblHeader w:val="true"/>
        </w:trPr>
        <w:tc>
          <w:tcPr>
            <w:tcMar>
              <w:top w:w="65" w:type="dxa"/>
              <w:start w:w="65" w:type="dxa"/>
              <w:bottom w:w="65" w:type="dxa"/>
              <w:end w:w="65" w:type="dxa"/>
            </w:tcMar>
            <w:vAlign w:val="center"/>
            <w:shd w:fill="17365D"/>
            <w:tcW w:type="dxa" w:w="1800"/>
          </w:tcPr>
          <w:p>
            <w:pPr>
              <w:spacing w:after="40" w:line="240" w:lineRule="auto" w:before="0"/>
              <w:jc w:val="center"/>
            </w:pPr>
            <w:r>
              <w:rPr>
                <w:rFonts w:ascii="Carlito" w:hAnsi="Carlito" w:eastAsia="Carlito"/>
                <w:b/>
                <w:color w:val="FFFFFF"/>
                <w:sz w:val="16"/>
              </w:rPr>
              <w:t xml:space="preserve">Уровень</w:t>
            </w:r>
          </w:p>
        </w:tc>
        <w:tc>
          <w:tcPr>
            <w:tcMar>
              <w:top w:w="65" w:type="dxa"/>
              <w:start w:w="65" w:type="dxa"/>
              <w:bottom w:w="65" w:type="dxa"/>
              <w:end w:w="65" w:type="dxa"/>
            </w:tcMar>
            <w:vAlign w:val="center"/>
            <w:shd w:fill="17365D"/>
            <w:tcW w:type="dxa" w:w="4392"/>
          </w:tcPr>
          <w:p>
            <w:pPr>
              <w:spacing w:after="40" w:line="240" w:lineRule="auto" w:before="0"/>
              <w:jc w:val="center"/>
            </w:pPr>
            <w:r>
              <w:rPr>
                <w:rFonts w:ascii="Carlito" w:hAnsi="Carlito" w:eastAsia="Carlito"/>
                <w:b/>
                <w:color w:val="FFFFFF"/>
                <w:sz w:val="16"/>
              </w:rPr>
              <w:t xml:space="preserve">Закрепляется</w:t>
            </w:r>
          </w:p>
        </w:tc>
        <w:tc>
          <w:tcPr>
            <w:tcMar>
              <w:top w:w="65" w:type="dxa"/>
              <w:start w:w="65" w:type="dxa"/>
              <w:bottom w:w="65" w:type="dxa"/>
              <w:end w:w="65" w:type="dxa"/>
            </w:tcMar>
            <w:vAlign w:val="center"/>
            <w:shd w:fill="17365D"/>
            <w:tcW w:type="dxa" w:w="3816"/>
          </w:tcPr>
          <w:p>
            <w:pPr>
              <w:spacing w:after="40" w:line="240" w:lineRule="auto" w:before="0"/>
              <w:jc w:val="center"/>
            </w:pPr>
            <w:r>
              <w:rPr>
                <w:rFonts w:ascii="Carlito" w:hAnsi="Carlito" w:eastAsia="Carlito"/>
                <w:b/>
                <w:color w:val="FFFFFF"/>
                <w:sz w:val="16"/>
              </w:rPr>
              <w:t xml:space="preserve">Не закрепляется</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Конституция или акт равной силы</w:t>
            </w:r>
          </w:p>
        </w:tc>
        <w:tc>
          <w:tcPr>
            <w:tcMar>
              <w:top w:w="65" w:type="dxa"/>
              <w:start w:w="65" w:type="dxa"/>
              <w:bottom w:w="65" w:type="dxa"/>
              <w:end w:w="65" w:type="dxa"/>
            </w:tcMar>
            <w:vAlign w:val="center"/>
            <w:tcW w:type="dxa" w:w="4392"/>
          </w:tcPr>
          <w:p>
            <w:pPr>
              <w:spacing w:after="40" w:line="240" w:lineRule="auto" w:before="0"/>
              <w:jc w:val="left"/>
            </w:pPr>
            <w:r>
              <w:rPr>
                <w:rFonts w:ascii="Carlito" w:hAnsi="Carlito" w:eastAsia="Carlito"/>
                <w:b w:val="0"/>
                <w:color w:val="000000"/>
                <w:sz w:val="16"/>
              </w:rPr>
              <w:t xml:space="preserve">Право граждан инициировать и участвовать; равенство; тайна политического участия; право на мотивированный ответ; пределы прямого эффекта; защита представительных институтов.</w:t>
            </w:r>
          </w:p>
        </w:tc>
        <w:tc>
          <w:tcPr>
            <w:tcMar>
              <w:top w:w="65" w:type="dxa"/>
              <w:start w:w="65" w:type="dxa"/>
              <w:bottom w:w="65" w:type="dxa"/>
              <w:end w:w="65" w:type="dxa"/>
            </w:tcMar>
            <w:vAlign w:val="center"/>
            <w:tcW w:type="dxa" w:w="3816"/>
          </w:tcPr>
          <w:p>
            <w:pPr>
              <w:spacing w:after="40" w:line="240" w:lineRule="auto" w:before="0"/>
              <w:jc w:val="left"/>
            </w:pPr>
            <w:r>
              <w:rPr>
                <w:rFonts w:ascii="Carlito" w:hAnsi="Carlito" w:eastAsia="Carlito"/>
                <w:b w:val="0"/>
                <w:color w:val="000000"/>
                <w:sz w:val="16"/>
              </w:rPr>
              <w:t xml:space="preserve">Конкретная платформа, число стадий, состав панелей, технический протокол, точные пороги и методики.</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Рамочный закон</w:t>
            </w:r>
          </w:p>
        </w:tc>
        <w:tc>
          <w:tcPr>
            <w:tcMar>
              <w:top w:w="65" w:type="dxa"/>
              <w:start w:w="65" w:type="dxa"/>
              <w:bottom w:w="65" w:type="dxa"/>
              <w:end w:w="65" w:type="dxa"/>
            </w:tcMar>
            <w:vAlign w:val="center"/>
            <w:shd w:fill="EEF3F8"/>
            <w:tcW w:type="dxa" w:w="4392"/>
          </w:tcPr>
          <w:p>
            <w:pPr>
              <w:spacing w:after="40" w:line="240" w:lineRule="auto" w:before="0"/>
              <w:jc w:val="left"/>
            </w:pPr>
            <w:r>
              <w:rPr>
                <w:rFonts w:ascii="Carlito" w:hAnsi="Carlito" w:eastAsia="Carlito"/>
                <w:b w:val="0"/>
                <w:color w:val="000000"/>
                <w:sz w:val="16"/>
              </w:rPr>
              <w:t xml:space="preserve">Статусы документов, субъекты, компетенции, сроки, основания решений, обжалование, данные, финансирование, ответственность, автоматическое прекращение.</w:t>
            </w:r>
          </w:p>
        </w:tc>
        <w:tc>
          <w:tcPr>
            <w:tcMar>
              <w:top w:w="65" w:type="dxa"/>
              <w:start w:w="65" w:type="dxa"/>
              <w:bottom w:w="65" w:type="dxa"/>
              <w:end w:w="65" w:type="dxa"/>
            </w:tcMar>
            <w:vAlign w:val="center"/>
            <w:shd w:fill="EEF3F8"/>
            <w:tcW w:type="dxa" w:w="3816"/>
          </w:tcPr>
          <w:p>
            <w:pPr>
              <w:spacing w:after="40" w:line="240" w:lineRule="auto" w:before="0"/>
              <w:jc w:val="left"/>
            </w:pPr>
            <w:r>
              <w:rPr>
                <w:rFonts w:ascii="Carlito" w:hAnsi="Carlito" w:eastAsia="Carlito"/>
                <w:b w:val="0"/>
                <w:color w:val="000000"/>
                <w:sz w:val="16"/>
              </w:rPr>
              <w:t xml:space="preserve">Политические ответы на конкретные инициативы и окончательные экспертные выводы.</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Специальные законы</w:t>
            </w:r>
          </w:p>
        </w:tc>
        <w:tc>
          <w:tcPr>
            <w:tcMar>
              <w:top w:w="65" w:type="dxa"/>
              <w:start w:w="65" w:type="dxa"/>
              <w:bottom w:w="65" w:type="dxa"/>
              <w:end w:w="65" w:type="dxa"/>
            </w:tcMar>
            <w:vAlign w:val="center"/>
            <w:tcW w:type="dxa" w:w="4392"/>
          </w:tcPr>
          <w:p>
            <w:pPr>
              <w:spacing w:after="40" w:line="240" w:lineRule="auto" w:before="0"/>
              <w:jc w:val="left"/>
            </w:pPr>
            <w:r>
              <w:rPr>
                <w:rFonts w:ascii="Carlito" w:hAnsi="Carlito" w:eastAsia="Carlito"/>
                <w:b w:val="0"/>
                <w:color w:val="000000"/>
                <w:sz w:val="16"/>
              </w:rPr>
              <w:t xml:space="preserve">Выборы, референдум, бюджет, данные, архив, закупки, лоббизм, местное самоуправление — в части необходимых изменений.</w:t>
            </w:r>
          </w:p>
        </w:tc>
        <w:tc>
          <w:tcPr>
            <w:tcMar>
              <w:top w:w="65" w:type="dxa"/>
              <w:start w:w="65" w:type="dxa"/>
              <w:bottom w:w="65" w:type="dxa"/>
              <w:end w:w="65" w:type="dxa"/>
            </w:tcMar>
            <w:vAlign w:val="center"/>
            <w:tcW w:type="dxa" w:w="3816"/>
          </w:tcPr>
          <w:p>
            <w:pPr>
              <w:spacing w:after="40" w:line="240" w:lineRule="auto" w:before="0"/>
              <w:jc w:val="left"/>
            </w:pPr>
            <w:r>
              <w:rPr>
                <w:rFonts w:ascii="Carlito" w:hAnsi="Carlito" w:eastAsia="Carlito"/>
                <w:b w:val="0"/>
                <w:color w:val="000000"/>
                <w:sz w:val="16"/>
              </w:rPr>
              <w:t xml:space="preserve">Скрытые исключения, меняющие баланс модели без публичной законодательной процедуры.</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Подзаконные акты</w:t>
            </w:r>
          </w:p>
        </w:tc>
        <w:tc>
          <w:tcPr>
            <w:tcMar>
              <w:top w:w="65" w:type="dxa"/>
              <w:start w:w="65" w:type="dxa"/>
              <w:bottom w:w="65" w:type="dxa"/>
              <w:end w:w="65" w:type="dxa"/>
            </w:tcMar>
            <w:vAlign w:val="center"/>
            <w:shd w:fill="EEF3F8"/>
            <w:tcW w:type="dxa" w:w="4392"/>
          </w:tcPr>
          <w:p>
            <w:pPr>
              <w:spacing w:after="40" w:line="240" w:lineRule="auto" w:before="0"/>
              <w:jc w:val="left"/>
            </w:pPr>
            <w:r>
              <w:rPr>
                <w:rFonts w:ascii="Carlito" w:hAnsi="Carlito" w:eastAsia="Carlito"/>
                <w:b w:val="0"/>
                <w:color w:val="000000"/>
                <w:sz w:val="16"/>
              </w:rPr>
              <w:t xml:space="preserve">Технические формы, совместимые стандарты, расписание внутри законных сроков, операционные инструкции.</w:t>
            </w:r>
          </w:p>
        </w:tc>
        <w:tc>
          <w:tcPr>
            <w:tcMar>
              <w:top w:w="65" w:type="dxa"/>
              <w:start w:w="65" w:type="dxa"/>
              <w:bottom w:w="65" w:type="dxa"/>
              <w:end w:w="65" w:type="dxa"/>
            </w:tcMar>
            <w:vAlign w:val="center"/>
            <w:shd w:fill="EEF3F8"/>
            <w:tcW w:type="dxa" w:w="3816"/>
          </w:tcPr>
          <w:p>
            <w:pPr>
              <w:spacing w:after="40" w:line="240" w:lineRule="auto" w:before="0"/>
              <w:jc w:val="left"/>
            </w:pPr>
            <w:r>
              <w:rPr>
                <w:rFonts w:ascii="Carlito" w:hAnsi="Carlito" w:eastAsia="Carlito"/>
                <w:b w:val="0"/>
                <w:color w:val="000000"/>
                <w:sz w:val="16"/>
              </w:rPr>
              <w:t xml:space="preserve">Условия допуска, основания отсева, права кандидатов, правовой эффект, ключевые пороги, виды санкций.</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Открытые методики</w:t>
            </w:r>
          </w:p>
        </w:tc>
        <w:tc>
          <w:tcPr>
            <w:tcMar>
              <w:top w:w="65" w:type="dxa"/>
              <w:start w:w="65" w:type="dxa"/>
              <w:bottom w:w="65" w:type="dxa"/>
              <w:end w:w="65" w:type="dxa"/>
            </w:tcMar>
            <w:vAlign w:val="center"/>
            <w:tcW w:type="dxa" w:w="4392"/>
          </w:tcPr>
          <w:p>
            <w:pPr>
              <w:spacing w:after="40" w:line="240" w:lineRule="auto" w:before="0"/>
              <w:jc w:val="left"/>
            </w:pPr>
            <w:r>
              <w:rPr>
                <w:rFonts w:ascii="Carlito" w:hAnsi="Carlito" w:eastAsia="Carlito"/>
                <w:b w:val="0"/>
                <w:color w:val="000000"/>
                <w:sz w:val="16"/>
              </w:rPr>
              <w:t xml:space="preserve">Расчёты, модели, интерфейсы, тесты и показатели, если их пределы установлены законом.</w:t>
            </w:r>
          </w:p>
        </w:tc>
        <w:tc>
          <w:tcPr>
            <w:tcMar>
              <w:top w:w="65" w:type="dxa"/>
              <w:start w:w="65" w:type="dxa"/>
              <w:bottom w:w="65" w:type="dxa"/>
              <w:end w:w="65" w:type="dxa"/>
            </w:tcMar>
            <w:vAlign w:val="center"/>
            <w:tcW w:type="dxa" w:w="3816"/>
          </w:tcPr>
          <w:p>
            <w:pPr>
              <w:spacing w:after="40" w:line="240" w:lineRule="auto" w:before="0"/>
              <w:jc w:val="left"/>
            </w:pPr>
            <w:r>
              <w:rPr>
                <w:rFonts w:ascii="Carlito" w:hAnsi="Carlito" w:eastAsia="Carlito"/>
                <w:b w:val="0"/>
                <w:color w:val="000000"/>
                <w:sz w:val="16"/>
              </w:rPr>
              <w:t xml:space="preserve">Полномочие изменять смысл закона или незаметно перераспределять политическое влияние.</w:t>
            </w:r>
          </w:p>
        </w:tc>
      </w:tr>
    </w:tbl>
    <w:bookmarkEnd w:id="55"/>
    <w:bookmarkStart w:id="56" w:name="минимальное-конституционное-ядро"/>
    <w:p>
      <w:pPr>
        <w:pStyle w:val="Heading2"/>
        <w:keepNext/>
        <w:keepLines/>
        <w:widowControl/>
        <w:spacing w:before="160" w:after="100"/>
      </w:pPr>
      <w:r>
        <w:rPr>
          <w:rFonts w:ascii="Carlito" w:hAnsi="Carlito" w:eastAsia="Carlito"/>
        </w:rPr>
        <w:t xml:space="preserve">4. Минимальное конституционное ядро</w:t>
      </w:r>
    </w:p>
    <w:p>
      <w:pPr>
        <w:pStyle w:val="FirstParagraph"/>
        <w:widowControl/>
        <w:spacing w:line="259" w:lineRule="auto" w:after="90"/>
        <w:ind w:firstLine="360"/>
      </w:pPr>
      <w:r>
        <w:rPr>
          <w:rFonts w:ascii="Carlito" w:hAnsi="Carlito" w:eastAsia="Carlito"/>
        </w:rPr>
        <w:t xml:space="preserve">В правопорядке, где для устойчивой реализации требуется конституционное основание, оно должно быть минимальным и технологически нейтральным. Допустимое ядро включает: право граждан на законные формы инициативы и обсуждения; обязанность публичных органов рассматривать достигшие порога инициативы и давать мотивированный ответ; право на сопоставимую информацию о позиции кандидатов в пределах свободы политической речи; защиту политической приватности; запрет изменять компетенции и права вне обычных процедур.</w:t>
      </w:r>
    </w:p>
    <w:bookmarkEnd w:id="56"/>
    <w:bookmarkStart w:id="57" w:name="что-не-должно-конституционализироваться"/>
    <w:p>
      <w:pPr>
        <w:pStyle w:val="Heading2"/>
        <w:keepNext/>
        <w:keepLines/>
        <w:widowControl/>
        <w:spacing w:before="160" w:after="100"/>
      </w:pPr>
      <w:r>
        <w:rPr>
          <w:rFonts w:ascii="Carlito" w:hAnsi="Carlito" w:eastAsia="Carlito"/>
        </w:rPr>
        <w:t xml:space="preserve">5. Что не должно конституционализироваться</w:t>
      </w:r>
    </w:p>
    <w:p>
      <w:pPr>
        <w:pStyle w:val="FirstParagraph"/>
        <w:widowControl/>
        <w:spacing w:line="259" w:lineRule="auto" w:after="90"/>
        <w:ind w:firstLine="360"/>
      </w:pPr>
      <w:r>
        <w:rPr>
          <w:rFonts w:ascii="Carlito" w:hAnsi="Carlito" w:eastAsia="Carlito"/>
        </w:rPr>
        <w:t xml:space="preserve">Не закрепляются на конституционном уровне:</w:t>
      </w:r>
    </w:p>
    <w:p>
      <w:pPr>
        <w:pStyle w:val="Compact"/>
        <w:widowControl/>
        <w:numPr>
          <w:ilvl w:val="0"/>
          <w:numId w:val="1005"/>
        </w:numPr>
        <w:spacing w:line="259" w:lineRule="auto" w:after="90"/>
      </w:pPr>
      <w:r>
        <w:rPr>
          <w:rFonts w:ascii="Carlito" w:hAnsi="Carlito" w:eastAsia="Carlito"/>
        </w:rPr>
        <w:t xml:space="preserve">название и состав конкретного оператора;</w:t>
      </w:r>
    </w:p>
    <w:p>
      <w:pPr>
        <w:pStyle w:val="Compact"/>
        <w:widowControl/>
        <w:numPr>
          <w:ilvl w:val="0"/>
          <w:numId w:val="1005"/>
        </w:numPr>
        <w:spacing w:line="259" w:lineRule="auto" w:after="90"/>
      </w:pPr>
      <w:r>
        <w:rPr>
          <w:rFonts w:ascii="Carlito" w:hAnsi="Carlito" w:eastAsia="Carlito"/>
        </w:rPr>
        <w:t xml:space="preserve">число инициатив, стадий, членов панелей и дней на процедуру;</w:t>
      </w:r>
    </w:p>
    <w:p>
      <w:pPr>
        <w:pStyle w:val="Compact"/>
        <w:widowControl/>
        <w:numPr>
          <w:ilvl w:val="0"/>
          <w:numId w:val="1005"/>
        </w:numPr>
        <w:spacing w:line="259" w:lineRule="auto" w:after="90"/>
      </w:pPr>
      <w:r>
        <w:rPr>
          <w:rFonts w:ascii="Carlito" w:hAnsi="Carlito" w:eastAsia="Carlito"/>
        </w:rPr>
        <w:t xml:space="preserve">конкретная цифровая идентичность или криптографический протокол;</w:t>
      </w:r>
    </w:p>
    <w:p>
      <w:pPr>
        <w:pStyle w:val="Compact"/>
        <w:widowControl/>
        <w:numPr>
          <w:ilvl w:val="0"/>
          <w:numId w:val="1005"/>
        </w:numPr>
        <w:spacing w:line="259" w:lineRule="auto" w:after="90"/>
      </w:pPr>
      <w:r>
        <w:rPr>
          <w:rFonts w:ascii="Carlito" w:hAnsi="Carlito" w:eastAsia="Carlito"/>
        </w:rPr>
        <w:t xml:space="preserve">автоматическая юридическая сила общественного перечня;</w:t>
      </w:r>
    </w:p>
    <w:p>
      <w:pPr>
        <w:pStyle w:val="Compact"/>
        <w:widowControl/>
        <w:numPr>
          <w:ilvl w:val="0"/>
          <w:numId w:val="1005"/>
        </w:numPr>
        <w:spacing w:line="259" w:lineRule="auto" w:after="90"/>
      </w:pPr>
      <w:r>
        <w:rPr>
          <w:rFonts w:ascii="Carlito" w:hAnsi="Carlito" w:eastAsia="Carlito"/>
        </w:rPr>
        <w:t xml:space="preserve">обязательство депутата голосовать определённым образом;</w:t>
      </w:r>
    </w:p>
    <w:p>
      <w:pPr>
        <w:pStyle w:val="Compact"/>
        <w:widowControl/>
        <w:numPr>
          <w:ilvl w:val="0"/>
          <w:numId w:val="1005"/>
        </w:numPr>
        <w:spacing w:line="259" w:lineRule="auto" w:after="90"/>
      </w:pPr>
      <w:r>
        <w:rPr>
          <w:rFonts w:ascii="Carlito" w:hAnsi="Carlito" w:eastAsia="Carlito"/>
        </w:rPr>
        <w:t xml:space="preserve">специальные санкции за содержательное политическое неисполнение;</w:t>
      </w:r>
    </w:p>
    <w:p>
      <w:pPr>
        <w:pStyle w:val="Compact"/>
        <w:widowControl/>
        <w:numPr>
          <w:ilvl w:val="0"/>
          <w:numId w:val="1005"/>
        </w:numPr>
        <w:spacing w:line="259" w:lineRule="auto" w:after="90"/>
      </w:pPr>
      <w:r>
        <w:rPr>
          <w:rFonts w:ascii="Carlito" w:hAnsi="Carlito" w:eastAsia="Carlito"/>
        </w:rPr>
        <w:t xml:space="preserve">защищённая доля бюджета постоянного органа;</w:t>
      </w:r>
    </w:p>
    <w:p>
      <w:pPr>
        <w:pStyle w:val="Compact"/>
        <w:widowControl/>
        <w:numPr>
          <w:ilvl w:val="0"/>
          <w:numId w:val="1005"/>
        </w:numPr>
        <w:spacing w:line="259" w:lineRule="auto" w:after="90"/>
      </w:pPr>
      <w:r>
        <w:rPr>
          <w:rFonts w:ascii="Carlito" w:hAnsi="Carlito" w:eastAsia="Carlito"/>
        </w:rPr>
        <w:t xml:space="preserve">монополия одного оценщика на официальную политическую истину.</w:t>
      </w:r>
    </w:p>
    <w:bookmarkEnd w:id="57"/>
    <w:bookmarkStart w:id="58" w:name="рамочный-закон"/>
    <w:p>
      <w:pPr>
        <w:pStyle w:val="Heading2"/>
        <w:keepNext/>
        <w:keepLines/>
        <w:widowControl/>
        <w:spacing w:before="160" w:after="100"/>
      </w:pPr>
      <w:r>
        <w:rPr>
          <w:rFonts w:ascii="Carlito" w:hAnsi="Carlito" w:eastAsia="Carlito"/>
        </w:rPr>
        <w:t xml:space="preserve">6. Рамочный закон</w:t>
      </w:r>
    </w:p>
    <w:p>
      <w:pPr>
        <w:pStyle w:val="FirstParagraph"/>
        <w:widowControl/>
        <w:spacing w:line="259" w:lineRule="auto" w:after="90"/>
        <w:ind w:firstLine="360"/>
      </w:pPr>
      <w:r>
        <w:rPr>
          <w:rFonts w:ascii="Carlito" w:hAnsi="Carlito" w:eastAsia="Carlito"/>
        </w:rPr>
        <w:t xml:space="preserve">Рамочный закон должен исчерпывающе регулировать элементы, непосредственно затрагивающие политические права и баланс власти: определения, статусы документов, компетентные уровни, пределы редактирования, правовую допустимость, финальное голосование, форму кандидатской декларации, процедурные обязанности после выборов, данные, аудит, обжалование, финансирование и ответственность.</w:t>
      </w:r>
    </w:p>
    <w:p>
      <w:pPr>
        <w:pStyle w:val="BodyText"/>
        <w:widowControl/>
      </w:pPr>
      <w:r>
        <w:rPr>
          <w:rFonts w:ascii="Carlito" w:hAnsi="Carlito" w:eastAsia="Carlito"/>
        </w:rPr>
        <w:t xml:space="preserve">Ссылка на будущие подзаконные акты допустима только для технических деталей. Закон обязан содержать достаточные критерии, чтобы гражданин, кандидат, суд и оператор могли заранее предвидеть правовые последствия.</w:t>
      </w:r>
    </w:p>
    <w:bookmarkEnd w:id="58"/>
    <w:bookmarkStart w:id="59" w:name="X15107493f777b5ba89458fb98ce48acb14bc055"/>
    <w:p>
      <w:pPr>
        <w:pStyle w:val="Heading2"/>
        <w:keepNext/>
        <w:keepLines/>
        <w:widowControl/>
        <w:spacing w:before="160" w:after="100"/>
      </w:pPr>
      <w:r>
        <w:rPr>
          <w:rFonts w:ascii="Carlito" w:hAnsi="Carlito" w:eastAsia="Carlito"/>
        </w:rPr>
        <w:t xml:space="preserve">7. Правовой статус общественного поручения и общественного мандата</w:t>
      </w:r>
    </w:p>
    <w:p>
      <w:pPr>
        <w:pStyle w:val="FirstParagraph"/>
        <w:widowControl/>
        <w:spacing w:line="259" w:lineRule="auto" w:after="90"/>
        <w:ind w:firstLine="360"/>
      </w:pPr>
      <w:r>
        <w:rPr>
          <w:rFonts w:ascii="Carlito" w:hAnsi="Carlito" w:eastAsia="Carlito"/>
        </w:rPr>
        <w:t xml:space="preserve">Общественное поручение обозначает полный гражданский цикл формирования целей. Общественный мандат является официально зафиксированным результатом этого цикла и источником повышенной политической и процедурной подотчётности. Он не является законом, бюджетом, административным приказом или надконституционным указанием.</w:t>
      </w:r>
    </w:p>
    <w:p>
      <w:pPr>
        <w:pStyle w:val="BodyText"/>
        <w:widowControl/>
      </w:pPr>
      <w:r>
        <w:rPr>
          <w:rFonts w:ascii="Carlito" w:hAnsi="Carlito" w:eastAsia="Carlito"/>
        </w:rPr>
        <w:t xml:space="preserve">Юридически обязательными могут быть только предусмотренные законом процедуры: представить позицию или нейтрально зафиксировать её отсутствие, опубликовать план собственных действий, раскрывать данные и изменения, отвечать на выводы контроля. Любая обязательность по существу возникает отдельно через обычные институты права.</w:t>
      </w:r>
    </w:p>
    <w:bookmarkEnd w:id="59"/>
    <w:bookmarkStart w:id="60" w:name="X43ef49272183ded353059428585c98d8097a017"/>
    <w:p>
      <w:pPr>
        <w:pStyle w:val="Heading2"/>
        <w:keepNext/>
        <w:keepLines/>
        <w:widowControl/>
        <w:spacing w:before="160" w:after="100"/>
      </w:pPr>
      <w:r>
        <w:rPr>
          <w:rFonts w:ascii="Carlito" w:hAnsi="Carlito" w:eastAsia="Carlito"/>
        </w:rPr>
        <w:t xml:space="preserve">8. Кандидатская декларация и избирательные права</w:t>
      </w:r>
    </w:p>
    <w:bookmarkEnd w:id="60"/>
    <w:bookmarkStart w:id="61" w:name="свободный-мандат-парламента-и-бюджет"/>
    <w:p>
      <w:pPr>
        <w:widowControl/>
      </w:pPr>
      <w:r>
        <w:t>Универсальный минимум требует полной декларации и использует ограниченный предел непринятия для определения присоединения кандидата к общественному мандату. Эти элементы сами по себе не являются универсальным основанием отказа в регистрации.</w:t>
      </w:r>
    </w:p>
    <w:p>
      <w:pPr>
        <w:widowControl/>
      </w:pPr>
      <w:r>
        <w:t>Любое усиленное электоральное последствие устанавливается только отдельной национальной конституционной нормой, принятой задолго до цикла, и проходит проверку объективности, равенства, соразмерности и эффективного обжалования.</w:t>
      </w:r>
    </w:p>
    <w:p>
      <w:pPr>
        <w:widowControl/>
      </w:pPr>
      <w:r>
        <w:t>Национальный закон не вправе официально толковать политическую разумность позиции; он может применять только формальную грамматику структурных признаков ответа.</w:t>
      </w:r>
    </w:p>
    <w:p>
      <w:pPr>
        <w:pStyle w:val="Heading2"/>
        <w:keepNext/>
        <w:keepLines/>
        <w:widowControl/>
        <w:spacing w:before="160" w:after="100"/>
      </w:pPr>
      <w:r>
        <w:rPr>
          <w:rFonts w:ascii="Carlito" w:hAnsi="Carlito" w:eastAsia="Carlito"/>
        </w:rPr>
        <w:t xml:space="preserve">9. Свободный мандат парламента и бюджет</w:t>
      </w:r>
    </w:p>
    <w:p>
      <w:pPr>
        <w:pStyle w:val="FirstParagraph"/>
        <w:widowControl/>
        <w:spacing w:line="259" w:lineRule="auto" w:after="90"/>
        <w:ind w:firstLine="360"/>
      </w:pPr>
      <w:r>
        <w:rPr>
          <w:rFonts w:ascii="Carlito" w:hAnsi="Carlito" w:eastAsia="Carlito"/>
        </w:rPr>
        <w:t xml:space="preserve">Общественный мандат не связывает индивидуальный голос депутата и не заменяет парламентские процедуры. Парламент может быть обязан рассмотреть вопрос, провести слушание, опубликовать расчёты и мотивировать решение, но сохраняет право принять, изменить или отклонить предложение.</w:t>
      </w:r>
    </w:p>
    <w:p>
      <w:pPr>
        <w:pStyle w:val="BodyText"/>
        <w:widowControl/>
      </w:pPr>
      <w:r>
        <w:rPr>
          <w:rFonts w:ascii="Carlito" w:hAnsi="Carlito" w:eastAsia="Carlito"/>
        </w:rPr>
        <w:t xml:space="preserve">Ни один пункт не санкционирует расходы без бюджета. При нехватке ресурсов политический выбор между налогами, перераспределением, долгом, этапностью и отказом остаётся видимым и принадлежит компетентным органам. Финансовая экспертиза информирует, но не маскирует этот выбор как техническое вето.</w:t>
      </w:r>
    </w:p>
    <w:bookmarkEnd w:id="61"/>
    <w:bookmarkStart w:id="62" w:name="исполнительная-власть"/>
    <w:p>
      <w:pPr>
        <w:pStyle w:val="Heading2"/>
        <w:keepNext/>
        <w:keepLines/>
        <w:widowControl/>
        <w:spacing w:before="160" w:after="100"/>
      </w:pPr>
      <w:r>
        <w:rPr>
          <w:rFonts w:ascii="Carlito" w:hAnsi="Carlito" w:eastAsia="Carlito"/>
        </w:rPr>
        <w:t xml:space="preserve">10. Исполнительная власть</w:t>
      </w:r>
    </w:p>
    <w:p>
      <w:pPr>
        <w:pStyle w:val="FirstParagraph"/>
        <w:widowControl/>
        <w:spacing w:line="259" w:lineRule="auto" w:after="90"/>
        <w:ind w:firstLine="360"/>
      </w:pPr>
      <w:r>
        <w:rPr>
          <w:rFonts w:ascii="Carlito" w:hAnsi="Carlito" w:eastAsia="Carlito"/>
        </w:rPr>
        <w:t xml:space="preserve">Избранное исполнительное лицо несёт процедурную обязанность по тем действиям, которые находятся в его собственной компетенции: подготовить, внести, опубликовать, провести консультацию, представить расчёт и отчитаться. Оно не гарантирует решение парламента, суда, региона, рынка или иной независимой стороны.</w:t>
      </w:r>
    </w:p>
    <w:p>
      <w:pPr>
        <w:pStyle w:val="BodyText"/>
        <w:widowControl/>
      </w:pPr>
      <w:r>
        <w:rPr>
          <w:rFonts w:ascii="Carlito" w:hAnsi="Carlito" w:eastAsia="Carlito"/>
        </w:rPr>
        <w:t xml:space="preserve">При совместной компетенции указываются вклад каждого субъекта, зависимости и допустимые действия координации. Отсутствие полномочия не освобождает от обязанности честно раскрыть, какие шаги были предприняты.</w:t>
      </w:r>
    </w:p>
    <w:bookmarkEnd w:id="62"/>
    <w:bookmarkStart w:id="63" w:name="Xe46a2f9c94581d960c8867efbdd892f4a568c24"/>
    <w:p>
      <w:pPr>
        <w:pStyle w:val="Heading2"/>
        <w:keepNext/>
        <w:keepLines/>
        <w:widowControl/>
        <w:spacing w:before="160" w:after="100"/>
      </w:pPr>
      <w:r>
        <w:rPr>
          <w:rFonts w:ascii="Carlito" w:hAnsi="Carlito" w:eastAsia="Carlito"/>
        </w:rPr>
        <w:t xml:space="preserve">11. Федерализм, регионы и местное самоуправление</w:t>
      </w:r>
    </w:p>
    <w:p>
      <w:pPr>
        <w:pStyle w:val="FirstParagraph"/>
        <w:widowControl/>
        <w:spacing w:line="259" w:lineRule="auto" w:after="90"/>
        <w:ind w:firstLine="360"/>
      </w:pPr>
      <w:r>
        <w:rPr>
          <w:rFonts w:ascii="Carlito" w:hAnsi="Carlito" w:eastAsia="Carlito"/>
        </w:rPr>
        <w:t xml:space="preserve">Принцип «один пункт — один компетентный уровень» является исходным. Национальный цикл не создаёт нефинансируемых обязанностей региону или муниципалитету и не сокращает их автономию. Совместная реализация требует согласия, распределения финансирования и публичного соглашения о ролях.</w:t>
      </w:r>
    </w:p>
    <w:p>
      <w:pPr>
        <w:pStyle w:val="BodyText"/>
        <w:widowControl/>
      </w:pPr>
      <w:r>
        <w:rPr>
          <w:rFonts w:ascii="Carlito" w:hAnsi="Carlito" w:eastAsia="Carlito"/>
        </w:rPr>
        <w:t xml:space="preserve">Национальная адаптация устанавливает коллизионную норму для конфликтов национального, регионального и местного циклов. Ни один уровень не вправе использовать собственный мандат как основание присвоить чужую компетенцию.</w:t>
      </w:r>
    </w:p>
    <w:bookmarkEnd w:id="63"/>
    <w:bookmarkStart w:id="64" w:name="суды-и-пределы-юстициабельности"/>
    <w:p>
      <w:pPr>
        <w:widowControl/>
      </w:pPr>
      <w:r>
        <w:t>Одновременные циклы разных уровней регулируются коллизионной матрицей: приоритетом компетентного уровня, соглашением о совместном пункте, раздельными собственными действиями и запретом нефинансируемого делегирования.</w:t>
      </w:r>
    </w:p>
    <w:p>
      <w:pPr>
        <w:pStyle w:val="Heading2"/>
        <w:keepNext/>
        <w:keepLines/>
        <w:widowControl/>
        <w:spacing w:before="160" w:after="100"/>
      </w:pPr>
      <w:r>
        <w:rPr>
          <w:rFonts w:ascii="Carlito" w:hAnsi="Carlito" w:eastAsia="Carlito"/>
        </w:rPr>
        <w:t xml:space="preserve">12. Суды и пределы юстициабельности</w:t>
      </w:r>
    </w:p>
    <w:bookmarkEnd w:id="64"/>
    <w:bookmarkStart w:id="65" w:name="единое-окно-обжалования"/>
    <w:p>
      <w:pPr>
        <w:widowControl/>
      </w:pPr>
      <w:r>
        <w:t>Суд контролирует закрытый каталог собственных процедурных действий: публикацию, принятие мотивированного решения, внесение предложения, проведение обязательной консультации, раскрытие данных и исправление доказанной фактической ошибки.</w:t>
      </w:r>
    </w:p>
    <w:p>
      <w:pPr>
        <w:widowControl/>
      </w:pPr>
      <w:r>
        <w:t>Средство защиты не определяет содержание политического решения, бюджет, голос парламента или итог сложного социального результата. Процедурный статус не переносится в избирательные или кадровые последствия без самостоятельного состава общего права.</w:t>
      </w:r>
    </w:p>
    <w:p>
      <w:pPr>
        <w:pStyle w:val="Heading2"/>
        <w:keepNext/>
        <w:keepLines/>
        <w:widowControl/>
        <w:spacing w:before="160" w:after="100"/>
      </w:pPr>
      <w:r>
        <w:rPr>
          <w:rFonts w:ascii="Carlito" w:hAnsi="Carlito" w:eastAsia="Carlito"/>
        </w:rPr>
        <w:t xml:space="preserve">13. Единое окно обжалования</w:t>
      </w:r>
    </w:p>
    <w:p>
      <w:pPr>
        <w:pStyle w:val="FirstParagraph"/>
        <w:widowControl/>
        <w:spacing w:line="259" w:lineRule="auto" w:after="90"/>
        <w:ind w:firstLine="360"/>
      </w:pPr>
      <w:r>
        <w:rPr>
          <w:rFonts w:ascii="Carlito" w:hAnsi="Carlito" w:eastAsia="Carlito"/>
        </w:rPr>
        <w:t xml:space="preserve">На каждой стадии закон устанавливает единую компетентную инстанцию, короткие пресекательные сроки, консолидацию связанных требований и последствия пропуска. Это предотвращает последовательное судебное уничтожение календаря и одновременно сохраняет реальную защиту.</w:t>
      </w:r>
    </w:p>
    <w:p>
      <w:pPr>
        <w:pStyle w:val="BodyText"/>
        <w:widowControl/>
      </w:pPr>
      <w:r>
        <w:rPr>
          <w:rFonts w:ascii="Carlito" w:hAnsi="Carlito" w:eastAsia="Carlito"/>
        </w:rPr>
        <w:t xml:space="preserve">Срочность не может лишать сторону доступа к материалам, возможности быть услышанной и мотивированного решения. Временная мера должна быть соразмерной и не предрешать спор необратимо.</w:t>
      </w:r>
    </w:p>
    <w:bookmarkEnd w:id="65"/>
    <w:bookmarkStart w:id="66" w:name="организационная-модель"/>
    <w:p>
      <w:pPr>
        <w:pStyle w:val="Heading2"/>
        <w:keepNext/>
        <w:keepLines/>
        <w:widowControl/>
        <w:spacing w:before="160" w:after="100"/>
      </w:pPr>
      <w:r>
        <w:rPr>
          <w:rFonts w:ascii="Carlito" w:hAnsi="Carlito" w:eastAsia="Carlito"/>
        </w:rPr>
        <w:t xml:space="preserve">14. Организационная модель</w:t>
      </w:r>
    </w:p>
    <w:p>
      <w:pPr>
        <w:pStyle w:val="FirstParagraph"/>
        <w:widowControl/>
        <w:spacing w:line="259" w:lineRule="auto" w:after="90"/>
        <w:ind w:firstLine="360"/>
      </w:pPr>
      <w:r>
        <w:rPr>
          <w:rFonts w:ascii="Carlito" w:hAnsi="Carlito" w:eastAsia="Carlito"/>
        </w:rPr>
        <w:t xml:space="preserve">По общему правилу используются существующие избирательные органы, аудиторы, органы защиты данных, архивы, суды и парламентские службы. Для конкретного цикла могут создаваться временные гражданские и экспертные панели с узким мандатом. Постоянный универсальный орган с совокупными функциями допуска, редактирования, толкования, мониторинга и санкций не создаётся.</w:t>
      </w:r>
    </w:p>
    <w:bookmarkEnd w:id="66"/>
    <w:bookmarkStart w:id="67" w:name="непередаваемые-законодательные-решения"/>
    <w:p>
      <w:pPr>
        <w:pStyle w:val="Heading2"/>
        <w:keepNext/>
        <w:keepLines/>
        <w:widowControl/>
        <w:spacing w:before="160" w:after="100"/>
      </w:pPr>
      <w:r>
        <w:rPr>
          <w:rFonts w:ascii="Carlito" w:hAnsi="Carlito" w:eastAsia="Carlito"/>
        </w:rPr>
        <w:t xml:space="preserve">15. Непередаваемые законодательные решения</w:t>
      </w:r>
    </w:p>
    <w:p>
      <w:pPr>
        <w:pStyle w:val="FirstParagraph"/>
        <w:widowControl/>
        <w:spacing w:line="259" w:lineRule="auto" w:after="90"/>
        <w:ind w:firstLine="360"/>
      </w:pPr>
      <w:r>
        <w:rPr>
          <w:rFonts w:ascii="Carlito" w:hAnsi="Carlito" w:eastAsia="Carlito"/>
        </w:rPr>
        <w:t xml:space="preserve">Только законом определяются:</w:t>
      </w:r>
    </w:p>
    <w:p>
      <w:pPr>
        <w:pStyle w:val="Compact"/>
        <w:widowControl/>
        <w:numPr>
          <w:ilvl w:val="0"/>
          <w:numId w:val="1006"/>
        </w:numPr>
        <w:spacing w:line="259" w:lineRule="auto" w:after="90"/>
      </w:pPr>
      <w:r>
        <w:rPr>
          <w:rFonts w:ascii="Carlito" w:hAnsi="Carlito" w:eastAsia="Carlito"/>
        </w:rPr>
        <w:t xml:space="preserve">статус и правовые последствия общественного мандата;</w:t>
      </w:r>
    </w:p>
    <w:p>
      <w:pPr>
        <w:pStyle w:val="Compact"/>
        <w:widowControl/>
        <w:numPr>
          <w:ilvl w:val="0"/>
          <w:numId w:val="1006"/>
        </w:numPr>
        <w:spacing w:line="259" w:lineRule="auto" w:after="90"/>
      </w:pPr>
      <w:r>
        <w:rPr>
          <w:rFonts w:ascii="Carlito" w:hAnsi="Carlito" w:eastAsia="Carlito"/>
        </w:rPr>
        <w:t xml:space="preserve">круг лиц, имеющих право участвовать и быть кандидатами;</w:t>
      </w:r>
    </w:p>
    <w:p>
      <w:pPr>
        <w:pStyle w:val="Compact"/>
        <w:widowControl/>
        <w:numPr>
          <w:ilvl w:val="0"/>
          <w:numId w:val="1006"/>
        </w:numPr>
        <w:spacing w:line="259" w:lineRule="auto" w:after="90"/>
      </w:pPr>
      <w:r>
        <w:rPr>
          <w:rFonts w:ascii="Carlito" w:hAnsi="Carlito" w:eastAsia="Carlito"/>
        </w:rPr>
        <w:t xml:space="preserve">основания недопустимости инициатив;</w:t>
      </w:r>
    </w:p>
    <w:p>
      <w:pPr>
        <w:pStyle w:val="Compact"/>
        <w:widowControl/>
        <w:numPr>
          <w:ilvl w:val="0"/>
          <w:numId w:val="1006"/>
        </w:numPr>
        <w:spacing w:line="259" w:lineRule="auto" w:after="90"/>
      </w:pPr>
      <w:r>
        <w:rPr>
          <w:rFonts w:ascii="Carlito" w:hAnsi="Carlito" w:eastAsia="Carlito"/>
        </w:rPr>
        <w:t xml:space="preserve">ключевые пороги и предел числа вопросов;</w:t>
      </w:r>
    </w:p>
    <w:p>
      <w:pPr>
        <w:pStyle w:val="Compact"/>
        <w:widowControl/>
        <w:numPr>
          <w:ilvl w:val="0"/>
          <w:numId w:val="1006"/>
        </w:numPr>
        <w:spacing w:line="259" w:lineRule="auto" w:after="90"/>
      </w:pPr>
      <w:r>
        <w:rPr>
          <w:rFonts w:ascii="Carlito" w:hAnsi="Carlito" w:eastAsia="Carlito"/>
        </w:rPr>
        <w:t xml:space="preserve">виды собираемых политически чувствительных данных и сроки их хранения;</w:t>
      </w:r>
    </w:p>
    <w:p>
      <w:pPr>
        <w:pStyle w:val="Compact"/>
        <w:widowControl/>
        <w:numPr>
          <w:ilvl w:val="0"/>
          <w:numId w:val="1006"/>
        </w:numPr>
        <w:spacing w:line="259" w:lineRule="auto" w:after="90"/>
      </w:pPr>
      <w:r>
        <w:rPr>
          <w:rFonts w:ascii="Carlito" w:hAnsi="Carlito" w:eastAsia="Carlito"/>
        </w:rPr>
        <w:t xml:space="preserve">основания доступа к связывающим данным;</w:t>
      </w:r>
    </w:p>
    <w:p>
      <w:pPr>
        <w:pStyle w:val="Compact"/>
        <w:widowControl/>
        <w:numPr>
          <w:ilvl w:val="0"/>
          <w:numId w:val="1006"/>
        </w:numPr>
        <w:spacing w:line="259" w:lineRule="auto" w:after="90"/>
      </w:pPr>
      <w:r>
        <w:rPr>
          <w:rFonts w:ascii="Carlito" w:hAnsi="Carlito" w:eastAsia="Carlito"/>
        </w:rPr>
        <w:t xml:space="preserve">виды санкций и составы правонарушений;</w:t>
      </w:r>
    </w:p>
    <w:p>
      <w:pPr>
        <w:pStyle w:val="Compact"/>
        <w:widowControl/>
        <w:numPr>
          <w:ilvl w:val="0"/>
          <w:numId w:val="1006"/>
        </w:numPr>
        <w:spacing w:line="259" w:lineRule="auto" w:after="90"/>
      </w:pPr>
      <w:r>
        <w:rPr>
          <w:rFonts w:ascii="Carlito" w:hAnsi="Carlito" w:eastAsia="Carlito"/>
        </w:rPr>
        <w:t xml:space="preserve">минимальные стандарты офлайн-доступа, аудита и безопасности;</w:t>
      </w:r>
    </w:p>
    <w:p>
      <w:pPr>
        <w:pStyle w:val="Compact"/>
        <w:widowControl/>
        <w:numPr>
          <w:ilvl w:val="0"/>
          <w:numId w:val="1006"/>
        </w:numPr>
        <w:spacing w:line="259" w:lineRule="auto" w:after="90"/>
      </w:pPr>
      <w:r>
        <w:rPr>
          <w:rFonts w:ascii="Carlito" w:hAnsi="Carlito" w:eastAsia="Carlito"/>
        </w:rPr>
        <w:t xml:space="preserve">условия пилотирования, масштабирования и прекращения.</w:t>
      </w:r>
    </w:p>
    <w:bookmarkEnd w:id="67"/>
    <w:bookmarkStart w:id="68" w:name="Xb4bdaa64b87e29559d8067b72ac2c13f1767ae1"/>
    <w:p>
      <w:pPr>
        <w:pStyle w:val="Heading2"/>
        <w:keepNext/>
        <w:keepLines/>
        <w:widowControl/>
        <w:spacing w:before="160" w:after="100"/>
      </w:pPr>
      <w:r>
        <w:rPr>
          <w:rFonts w:ascii="Carlito" w:hAnsi="Carlito" w:eastAsia="Carlito"/>
        </w:rPr>
        <w:t xml:space="preserve">16. Пределы подзаконного и методического регулирования</w:t>
      </w:r>
    </w:p>
    <w:p>
      <w:pPr>
        <w:pStyle w:val="FirstParagraph"/>
        <w:widowControl/>
        <w:spacing w:line="259" w:lineRule="auto" w:after="90"/>
        <w:ind w:firstLine="360"/>
      </w:pPr>
      <w:r>
        <w:rPr>
          <w:rFonts w:ascii="Carlito" w:hAnsi="Carlito" w:eastAsia="Carlito"/>
        </w:rPr>
        <w:t xml:space="preserve">Методика не может вводить новый критерий отсева, изменять вес голоса, давать скрытое преимущество организованной группе или ухудшать защиту данных. Любое существенное изменение проходит публичное обсуждение, независимую оценку последствий и вступает в силу только для следующего цикла, если не требуется устранить непосредственную угрозу правам.</w:t>
      </w:r>
    </w:p>
    <w:bookmarkEnd w:id="68"/>
    <w:bookmarkStart w:id="69" w:name="стабильность-правил"/>
    <w:p>
      <w:pPr>
        <w:pStyle w:val="Heading2"/>
        <w:keepNext/>
        <w:keepLines/>
        <w:widowControl/>
        <w:spacing w:before="160" w:after="100"/>
      </w:pPr>
      <w:r>
        <w:rPr>
          <w:rFonts w:ascii="Carlito" w:hAnsi="Carlito" w:eastAsia="Carlito"/>
        </w:rPr>
        <w:t xml:space="preserve">17. Стабильность правил</w:t>
      </w:r>
    </w:p>
    <w:p>
      <w:pPr>
        <w:pStyle w:val="FirstParagraph"/>
        <w:widowControl/>
        <w:spacing w:line="259" w:lineRule="auto" w:after="90"/>
        <w:ind w:firstLine="360"/>
      </w:pPr>
      <w:r>
        <w:rPr>
          <w:rFonts w:ascii="Carlito" w:hAnsi="Carlito" w:eastAsia="Carlito"/>
        </w:rPr>
        <w:t xml:space="preserve">Основные правила не изменяются в период, непосредственно предшествующий циклу, и в ходе цикла. Национальный закон устанавливает период стабильности, достаточный для понимания правил участниками. Экстренное изменение допускается только для устранения доказанной угрозы правам или целостности и сопровождается независимой проверкой, публичной мотивировкой и максимально узким действием.</w:t>
      </w:r>
    </w:p>
    <w:bookmarkEnd w:id="69"/>
    <w:bookmarkStart w:id="70" w:name="чрезвычайные-режимы"/>
    <w:p>
      <w:pPr>
        <w:pStyle w:val="Heading2"/>
        <w:keepNext/>
        <w:keepLines/>
        <w:widowControl/>
        <w:spacing w:before="160" w:after="100"/>
      </w:pPr>
      <w:r>
        <w:rPr>
          <w:rFonts w:ascii="Carlito" w:hAnsi="Carlito" w:eastAsia="Carlito"/>
        </w:rPr>
        <w:t xml:space="preserve">18. Чрезвычайные режимы</w:t>
      </w:r>
    </w:p>
    <w:bookmarkEnd w:id="70"/>
    <w:bookmarkStart w:id="71" w:name="переходный-период"/>
    <w:p>
      <w:pPr>
        <w:widowControl/>
      </w:pPr>
      <w:r>
        <w:t>Все исключения включаются в единый публичный чрезвычайный реестр и подчиняются общему кумулятивному сроку фактического события. Смена правового названия основания или органа не создаёт новый срок.</w:t>
      </w:r>
    </w:p>
    <w:p>
      <w:pPr>
        <w:widowControl/>
      </w:pPr>
      <w:r>
        <w:t>В период чрезвычайности нельзя изменять правила кандидатов, пороги легитимности и объём связывающих политических данных. Продление требует независимого подтверждения эквивалентности оснований.</w:t>
      </w:r>
    </w:p>
    <w:p>
      <w:pPr>
        <w:pStyle w:val="Heading2"/>
        <w:keepNext/>
        <w:keepLines/>
        <w:widowControl/>
        <w:spacing w:before="160" w:after="100"/>
      </w:pPr>
      <w:r>
        <w:rPr>
          <w:rFonts w:ascii="Carlito" w:hAnsi="Carlito" w:eastAsia="Carlito"/>
        </w:rPr>
        <w:t xml:space="preserve">19. Переходный период</w:t>
      </w:r>
    </w:p>
    <w:p>
      <w:pPr>
        <w:pStyle w:val="FirstParagraph"/>
        <w:widowControl/>
        <w:spacing w:line="259" w:lineRule="auto" w:after="90"/>
        <w:ind w:firstLine="360"/>
      </w:pPr>
      <w:r>
        <w:rPr>
          <w:rFonts w:ascii="Carlito" w:hAnsi="Carlito" w:eastAsia="Carlito"/>
        </w:rPr>
        <w:t xml:space="preserve">На переходном этапе не допускается перенос прежних политических обещаний в юридические обязательства задним числом. Действующие органы сохраняют компетенции; временные функции вводятся поэтапно. Реестры, данные и архивы создаются только после утверждения режима защиты и ответственного хранителя.</w:t>
      </w:r>
    </w:p>
    <w:bookmarkEnd w:id="71"/>
    <w:bookmarkStart w:id="72" w:name="национальный-адаптационный-пакет"/>
    <w:p>
      <w:pPr>
        <w:pStyle w:val="Heading2"/>
        <w:keepNext/>
        <w:keepLines/>
        <w:widowControl/>
        <w:spacing w:before="160" w:after="100"/>
      </w:pPr>
      <w:r>
        <w:rPr>
          <w:rFonts w:ascii="Carlito" w:hAnsi="Carlito" w:eastAsia="Carlito"/>
        </w:rPr>
        <w:t xml:space="preserve">20. Национальный адаптационный пакет</w:t>
      </w:r>
    </w:p>
    <w:p>
      <w:pPr>
        <w:pStyle w:val="FirstParagraph"/>
        <w:widowControl/>
        <w:spacing w:line="259" w:lineRule="auto" w:after="90"/>
        <w:ind w:firstLine="360"/>
      </w:pPr>
      <w:r>
        <w:rPr>
          <w:rFonts w:ascii="Carlito" w:hAnsi="Carlito" w:eastAsia="Carlito"/>
        </w:rPr>
        <w:t xml:space="preserve">До внесения закона готовится пакет национальной адаптации, включающий:</w:t>
      </w:r>
    </w:p>
    <w:p>
      <w:pPr>
        <w:pStyle w:val="Compact"/>
        <w:widowControl/>
        <w:numPr>
          <w:ilvl w:val="0"/>
          <w:numId w:val="1007"/>
        </w:numPr>
        <w:spacing w:line="259" w:lineRule="auto" w:after="90"/>
      </w:pPr>
      <w:r>
        <w:rPr>
          <w:rFonts w:ascii="Carlito" w:hAnsi="Carlito" w:eastAsia="Carlito"/>
        </w:rPr>
        <w:t xml:space="preserve">карту конституционных компетенций;</w:t>
      </w:r>
    </w:p>
    <w:p>
      <w:pPr>
        <w:pStyle w:val="Compact"/>
        <w:widowControl/>
        <w:numPr>
          <w:ilvl w:val="0"/>
          <w:numId w:val="1007"/>
        </w:numPr>
        <w:spacing w:line="259" w:lineRule="auto" w:after="90"/>
      </w:pPr>
      <w:r>
        <w:rPr>
          <w:rFonts w:ascii="Carlito" w:hAnsi="Carlito" w:eastAsia="Carlito"/>
        </w:rPr>
        <w:t xml:space="preserve">анализ избирательной и партийной системы;</w:t>
      </w:r>
    </w:p>
    <w:p>
      <w:pPr>
        <w:pStyle w:val="Compact"/>
        <w:widowControl/>
        <w:numPr>
          <w:ilvl w:val="0"/>
          <w:numId w:val="1007"/>
        </w:numPr>
        <w:spacing w:line="259" w:lineRule="auto" w:after="90"/>
      </w:pPr>
      <w:r>
        <w:rPr>
          <w:rFonts w:ascii="Carlito" w:hAnsi="Carlito" w:eastAsia="Carlito"/>
        </w:rPr>
        <w:t xml:space="preserve">бюджетную модель;</w:t>
      </w:r>
    </w:p>
    <w:p>
      <w:pPr>
        <w:pStyle w:val="Compact"/>
        <w:widowControl/>
        <w:numPr>
          <w:ilvl w:val="0"/>
          <w:numId w:val="1007"/>
        </w:numPr>
        <w:spacing w:line="259" w:lineRule="auto" w:after="90"/>
      </w:pPr>
      <w:r>
        <w:rPr>
          <w:rFonts w:ascii="Carlito" w:hAnsi="Carlito" w:eastAsia="Carlito"/>
        </w:rPr>
        <w:t xml:space="preserve">режим федерализма и местного самоуправления;</w:t>
      </w:r>
    </w:p>
    <w:p>
      <w:pPr>
        <w:pStyle w:val="Compact"/>
        <w:widowControl/>
        <w:numPr>
          <w:ilvl w:val="0"/>
          <w:numId w:val="1007"/>
        </w:numPr>
        <w:spacing w:line="259" w:lineRule="auto" w:after="90"/>
      </w:pPr>
      <w:r>
        <w:rPr>
          <w:rFonts w:ascii="Carlito" w:hAnsi="Carlito" w:eastAsia="Carlito"/>
        </w:rPr>
        <w:t xml:space="preserve">оценку прав и международных обязательств;</w:t>
      </w:r>
    </w:p>
    <w:p>
      <w:pPr>
        <w:pStyle w:val="Compact"/>
        <w:widowControl/>
        <w:numPr>
          <w:ilvl w:val="0"/>
          <w:numId w:val="1007"/>
        </w:numPr>
        <w:spacing w:line="259" w:lineRule="auto" w:after="90"/>
      </w:pPr>
      <w:r>
        <w:rPr>
          <w:rFonts w:ascii="Carlito" w:hAnsi="Carlito" w:eastAsia="Carlito"/>
        </w:rPr>
        <w:t xml:space="preserve">модель данных и киберугроз;</w:t>
      </w:r>
    </w:p>
    <w:p>
      <w:pPr>
        <w:pStyle w:val="Compact"/>
        <w:widowControl/>
        <w:numPr>
          <w:ilvl w:val="0"/>
          <w:numId w:val="1007"/>
        </w:numPr>
        <w:spacing w:line="259" w:lineRule="auto" w:after="90"/>
      </w:pPr>
      <w:r>
        <w:rPr>
          <w:rFonts w:ascii="Carlito" w:hAnsi="Carlito" w:eastAsia="Carlito"/>
        </w:rPr>
        <w:t xml:space="preserve">перечень необходимых изменений действующих законов;</w:t>
      </w:r>
    </w:p>
    <w:p>
      <w:pPr>
        <w:pStyle w:val="Compact"/>
        <w:widowControl/>
        <w:numPr>
          <w:ilvl w:val="0"/>
          <w:numId w:val="1007"/>
        </w:numPr>
        <w:spacing w:line="259" w:lineRule="auto" w:after="90"/>
      </w:pPr>
      <w:r>
        <w:rPr>
          <w:rFonts w:ascii="Carlito" w:hAnsi="Carlito" w:eastAsia="Carlito"/>
        </w:rPr>
        <w:t xml:space="preserve">программу пилота;</w:t>
      </w:r>
    </w:p>
    <w:p>
      <w:pPr>
        <w:pStyle w:val="Compact"/>
        <w:widowControl/>
        <w:numPr>
          <w:ilvl w:val="0"/>
          <w:numId w:val="1007"/>
        </w:numPr>
        <w:spacing w:line="259" w:lineRule="auto" w:after="90"/>
      </w:pPr>
      <w:r>
        <w:rPr>
          <w:rFonts w:ascii="Carlito" w:hAnsi="Carlito" w:eastAsia="Carlito"/>
        </w:rPr>
        <w:t xml:space="preserve">таблицу отклонений от универсальной Доктрины.</w:t>
      </w:r>
    </w:p>
    <w:p>
      <w:pPr>
        <w:pStyle w:val="FirstParagraph"/>
        <w:widowControl/>
        <w:spacing w:line="259" w:lineRule="auto" w:after="90"/>
        <w:ind w:firstLine="360"/>
      </w:pPr>
      <w:r>
        <w:rPr>
          <w:rFonts w:ascii="Carlito" w:hAnsi="Carlito" w:eastAsia="Carlito"/>
        </w:rPr>
        <w:t xml:space="preserve">Каждое отклонение маркируется как обязательная национальная адаптация, допустимый вариант или потенциальное изменение концептуального ядра. Последняя категория не может быть утверждена под видом технической имплементации.</w:t>
      </w:r>
    </w:p>
    <w:bookmarkEnd w:id="72"/>
    <w:bookmarkStart w:id="73" w:name="контроль-и-ответственность"/>
    <w:p>
      <w:pPr>
        <w:pStyle w:val="Heading2"/>
        <w:keepNext/>
        <w:keepLines/>
        <w:widowControl/>
        <w:spacing w:before="160" w:after="100"/>
      </w:pPr>
      <w:r>
        <w:rPr>
          <w:rFonts w:ascii="Carlito" w:hAnsi="Carlito" w:eastAsia="Carlito"/>
        </w:rPr>
        <w:t xml:space="preserve">21. Контроль и ответственность</w:t>
      </w:r>
    </w:p>
    <w:p>
      <w:pPr>
        <w:pStyle w:val="FirstParagraph"/>
        <w:widowControl/>
        <w:spacing w:line="259" w:lineRule="auto" w:after="90"/>
        <w:ind w:firstLine="360"/>
      </w:pPr>
      <w:r>
        <w:rPr>
          <w:rFonts w:ascii="Carlito" w:hAnsi="Carlito" w:eastAsia="Carlito"/>
        </w:rPr>
        <w:t xml:space="preserve">Незаконное создание прямого эффекта, передача непередаваемого решения подзаконному органу, изменение правил в ходе цикла, создание нефинансируемой обязанности и использование мандата для давления на суд или парламент являются самостоятельными основаниями контроля и отмены соответствующего акта.</w:t>
      </w:r>
    </w:p>
    <w:bookmarkEnd w:id="73"/>
    <w:bookmarkStart w:id="74" w:name="Xd8a0510d0fd70c027ba2df86e316b5f8e6dd2bf"/>
    <w:p>
      <w:pPr>
        <w:pStyle w:val="Heading2"/>
        <w:keepNext/>
        <w:keepLines/>
        <w:widowControl/>
        <w:spacing w:before="160" w:after="100"/>
      </w:pPr>
      <w:r>
        <w:rPr>
          <w:rFonts w:ascii="Carlito" w:hAnsi="Carlito" w:eastAsia="Carlito"/>
        </w:rPr>
        <w:t xml:space="preserve">22. Наиболее сильные возражения и встроенные ответы</w:t>
      </w:r>
    </w:p>
    <w:p>
      <w:pPr>
        <w:pStyle w:val="FirstParagraph"/>
        <w:widowControl/>
        <w:spacing w:line="259" w:lineRule="auto" w:after="90"/>
        <w:ind w:firstLine="360"/>
      </w:pPr>
      <w:r>
        <w:rPr>
          <w:rFonts w:ascii="Carlito" w:hAnsi="Carlito" w:eastAsia="Carlito"/>
        </w:rPr>
        <w:t xml:space="preserve">Возражение о параллельном источнике власти закрывается прямым подчинением Доктрины Конституции и обычным источникам права. Возражение о свободном мандате — ограничением обязательности процедурой рассмотрения и публичного ответа. Возражение о судебной политизации — закрытым предметом судебного контроля. Возражение о преждевременной конституционализации — минимальным, технологически нейтральным ядром и обязательными пилотами.</w:t>
      </w:r>
    </w:p>
    <w:bookmarkEnd w:id="74"/>
    <w:bookmarkStart w:id="75" w:name="вывод-1"/>
    <w:p>
      <w:pPr>
        <w:pStyle w:val="Heading2"/>
        <w:keepNext/>
        <w:keepLines/>
        <w:widowControl/>
        <w:spacing w:before="160" w:after="100"/>
      </w:pPr>
      <w:r>
        <w:rPr>
          <w:rFonts w:ascii="Carlito" w:hAnsi="Carlito" w:eastAsia="Carlito"/>
        </w:rPr>
        <w:t xml:space="preserve">23. Вывод</w:t>
      </w:r>
    </w:p>
    <w:p>
      <w:pPr>
        <w:pStyle w:val="FirstParagraph"/>
        <w:widowControl/>
        <w:spacing w:line="259" w:lineRule="auto" w:after="90"/>
        <w:ind w:firstLine="360"/>
      </w:pPr>
      <w:r>
        <w:rPr>
          <w:rFonts w:ascii="Carlito" w:hAnsi="Carlito" w:eastAsia="Carlito"/>
        </w:rPr>
        <w:t xml:space="preserve">Правовое закрепление должно защищать гражданское происхождение поручения, но не сакрализовать конкретную технологию. Чем выше уровень правового акта, тем общими и устойчивыми должны быть закрепляемые права и пределы; чем ближе правило к операции, тем легче оно должно исправляться — при условии, что не меняет политические права и баланс полномочий.</w:t>
      </w:r>
    </w:p>
    <w:bookmarkEnd w:id="75"/>
    <w:bookmarkEnd w:id="76"/>
    <w:bookmarkStart w:id="99" w:name="Xb412665e6afa38456e612b05bb2e6551f323d77"/>
    <w:p>
      <w:pPr>
        <w:pStyle w:val="Heading1"/>
        <w:keepNext/>
        <w:keepLines/>
        <w:pageBreakBefore/>
        <w:widowControl/>
        <w:spacing w:before="0" w:after="160"/>
        <w:pBdr>
          <w:bottom w:val="single" w:sz="5" w:space="4" w:color="B4C6E7"/>
        </w:pBdr>
      </w:pPr>
      <w:r>
        <w:rPr>
          <w:rFonts w:ascii="Carlito" w:hAnsi="Carlito" w:eastAsia="Carlito"/>
        </w:rPr>
        <w:t xml:space="preserve">Глава XXXIII. Финансирование системы общественного поручения и защита от финансового захвата</w:t>
      </w:r>
    </w:p>
    <w:p>
      <w:pPr>
        <w:pStyle w:val="BlockText"/>
        <w:widowControl/>
        <w:spacing w:line="259" w:lineRule="auto" w:after="90"/>
        <w:ind w:firstLine="360"/>
      </w:pPr>
      <w:r>
        <w:rPr>
          <w:rFonts w:ascii="Carlito" w:hAnsi="Carlito" w:eastAsia="Carlito"/>
          <w:b/>
          <w:bCs/>
        </w:rPr>
        <w:t xml:space="preserve">Финансовая устойчивость — это не бессрочный защищённый бюджет. Это способность честно рассчитать полную цену цикла, обеспечить его критические гарантии, не зависеть от заинтересованного спонсора и прекратить механизм, если общественная ценность не оправдывает расходы.</w:t>
      </w:r>
    </w:p>
    <w:bookmarkStart w:id="77" w:name="предмет-и-цель-главы-2"/>
    <w:p>
      <w:pPr>
        <w:pStyle w:val="Heading2"/>
        <w:keepNext/>
        <w:keepLines/>
        <w:widowControl/>
        <w:spacing w:before="160" w:after="100"/>
      </w:pPr>
      <w:r>
        <w:rPr>
          <w:rFonts w:ascii="Carlito" w:hAnsi="Carlito" w:eastAsia="Carlito"/>
        </w:rPr>
        <w:t xml:space="preserve">1. Предмет и цель главы</w:t>
      </w:r>
    </w:p>
    <w:p>
      <w:pPr>
        <w:pStyle w:val="FirstParagraph"/>
        <w:widowControl/>
        <w:spacing w:line="259" w:lineRule="auto" w:after="90"/>
        <w:ind w:firstLine="360"/>
      </w:pPr>
      <w:r>
        <w:rPr>
          <w:rFonts w:ascii="Carlito" w:hAnsi="Carlito" w:eastAsia="Carlito"/>
        </w:rPr>
        <w:t xml:space="preserve">Настоящая глава устанавливает источники, структуру, порядок утверждения, расходования и контроля средств полного цикла общественного поручения. Цель — обеспечить достаточность критических функций и одновременно предотвратить бюджетную автономизацию, поставщицкий захват, скрытое частное финансирование и вытеснение государственных услуг административной инфраструктурой участия.</w:t>
      </w:r>
    </w:p>
    <w:bookmarkEnd w:id="77"/>
    <w:bookmarkStart w:id="78" w:name="основные-принципы"/>
    <w:p>
      <w:pPr>
        <w:pStyle w:val="Heading2"/>
        <w:keepNext/>
        <w:keepLines/>
        <w:widowControl/>
        <w:spacing w:before="160" w:after="100"/>
      </w:pPr>
      <w:r>
        <w:rPr>
          <w:rFonts w:ascii="Carlito" w:hAnsi="Carlito" w:eastAsia="Carlito"/>
        </w:rPr>
        <w:t xml:space="preserve">2. Основные принципы</w:t>
      </w:r>
    </w:p>
    <w:p>
      <w:pPr>
        <w:pStyle w:val="Compact"/>
        <w:widowControl/>
        <w:numPr>
          <w:ilvl w:val="0"/>
          <w:numId w:val="1008"/>
        </w:numPr>
        <w:spacing w:line="259" w:lineRule="auto" w:after="90"/>
      </w:pPr>
      <w:r>
        <w:rPr>
          <w:rFonts w:ascii="Carlito" w:hAnsi="Carlito" w:eastAsia="Carlito"/>
        </w:rPr>
        <w:t xml:space="preserve">законность и парламентская бюджетная компетенция;</w:t>
      </w:r>
    </w:p>
    <w:p>
      <w:pPr>
        <w:pStyle w:val="Compact"/>
        <w:widowControl/>
        <w:numPr>
          <w:ilvl w:val="0"/>
          <w:numId w:val="1008"/>
        </w:numPr>
        <w:spacing w:line="259" w:lineRule="auto" w:after="90"/>
      </w:pPr>
      <w:r>
        <w:rPr>
          <w:rFonts w:ascii="Carlito" w:hAnsi="Carlito" w:eastAsia="Carlito"/>
        </w:rPr>
        <w:t xml:space="preserve">полная стоимость жизненного цикла, а не только цена цифровой платформы;</w:t>
      </w:r>
    </w:p>
    <w:p>
      <w:pPr>
        <w:pStyle w:val="Compact"/>
        <w:widowControl/>
        <w:numPr>
          <w:ilvl w:val="0"/>
          <w:numId w:val="1008"/>
        </w:numPr>
        <w:spacing w:line="259" w:lineRule="auto" w:after="90"/>
      </w:pPr>
      <w:r>
        <w:rPr>
          <w:rFonts w:ascii="Carlito" w:hAnsi="Carlito" w:eastAsia="Carlito"/>
        </w:rPr>
        <w:t xml:space="preserve">приоритет прав, доступности и безопасности над количеством функций;</w:t>
      </w:r>
    </w:p>
    <w:p>
      <w:pPr>
        <w:pStyle w:val="Compact"/>
        <w:widowControl/>
        <w:numPr>
          <w:ilvl w:val="0"/>
          <w:numId w:val="1008"/>
        </w:numPr>
        <w:spacing w:line="259" w:lineRule="auto" w:after="90"/>
      </w:pPr>
      <w:r>
        <w:rPr>
          <w:rFonts w:ascii="Carlito" w:hAnsi="Carlito" w:eastAsia="Carlito"/>
        </w:rPr>
        <w:t xml:space="preserve">запрет критической зависимости от частного или иностранного спонсора;</w:t>
      </w:r>
    </w:p>
    <w:p>
      <w:pPr>
        <w:pStyle w:val="Compact"/>
        <w:widowControl/>
        <w:numPr>
          <w:ilvl w:val="0"/>
          <w:numId w:val="1008"/>
        </w:numPr>
        <w:spacing w:line="259" w:lineRule="auto" w:after="90"/>
      </w:pPr>
      <w:r>
        <w:rPr>
          <w:rFonts w:ascii="Carlito" w:hAnsi="Carlito" w:eastAsia="Carlito"/>
        </w:rPr>
        <w:t xml:space="preserve">открытые закупки, совместимые стандарты и право сменить поставщика;</w:t>
      </w:r>
    </w:p>
    <w:p>
      <w:pPr>
        <w:pStyle w:val="Compact"/>
        <w:widowControl/>
        <w:numPr>
          <w:ilvl w:val="0"/>
          <w:numId w:val="1008"/>
        </w:numPr>
        <w:spacing w:line="259" w:lineRule="auto" w:after="90"/>
      </w:pPr>
      <w:r>
        <w:rPr>
          <w:rFonts w:ascii="Carlito" w:hAnsi="Carlito" w:eastAsia="Carlito"/>
        </w:rPr>
        <w:t xml:space="preserve">соразмерность расходов доказанной общественной пользе;</w:t>
      </w:r>
    </w:p>
    <w:p>
      <w:pPr>
        <w:pStyle w:val="Compact"/>
        <w:widowControl/>
        <w:numPr>
          <w:ilvl w:val="0"/>
          <w:numId w:val="1008"/>
        </w:numPr>
        <w:spacing w:line="259" w:lineRule="auto" w:after="90"/>
      </w:pPr>
      <w:r>
        <w:rPr>
          <w:rFonts w:ascii="Carlito" w:hAnsi="Carlito" w:eastAsia="Carlito"/>
        </w:rPr>
        <w:t xml:space="preserve">раздельный учёт постоянных расходов, стоимости конкретного цикла и независимой оценки;</w:t>
      </w:r>
    </w:p>
    <w:p>
      <w:pPr>
        <w:pStyle w:val="Compact"/>
        <w:widowControl/>
        <w:numPr>
          <w:ilvl w:val="0"/>
          <w:numId w:val="1008"/>
        </w:numPr>
        <w:spacing w:line="259" w:lineRule="auto" w:after="90"/>
      </w:pPr>
      <w:r>
        <w:rPr>
          <w:rFonts w:ascii="Carlito" w:hAnsi="Carlito" w:eastAsia="Carlito"/>
        </w:rPr>
        <w:t xml:space="preserve">автоматический пересмотр бюджета после каждого цикла и прекращение неэффективных модулей.</w:t>
      </w:r>
    </w:p>
    <w:bookmarkEnd w:id="78"/>
    <w:bookmarkStart w:id="79" w:name="финансовый-периметр"/>
    <w:p>
      <w:pPr>
        <w:pStyle w:val="Heading2"/>
        <w:keepNext/>
        <w:keepLines/>
        <w:widowControl/>
        <w:spacing w:before="160" w:after="100"/>
      </w:pPr>
      <w:r>
        <w:rPr>
          <w:rFonts w:ascii="Carlito" w:hAnsi="Carlito" w:eastAsia="Carlito"/>
        </w:rPr>
        <w:t xml:space="preserve">3. Финансовый периметр</w:t>
      </w:r>
    </w:p>
    <w:p>
      <w:pPr>
        <w:pStyle w:val="FirstParagraph"/>
        <w:widowControl/>
        <w:spacing w:line="259" w:lineRule="auto" w:after="90"/>
        <w:ind w:firstLine="360"/>
      </w:pPr>
      <w:r>
        <w:rPr>
          <w:rFonts w:ascii="Carlito" w:hAnsi="Carlito" w:eastAsia="Carlito"/>
        </w:rPr>
        <w:t xml:space="preserve">Смета включает все прямые и косвенные расходы государства и привлечённых публичных организаций. Не допускается исключать из оценки уже существующий персонал, помещения, инфраструктуру идентификации, судебную нагрузку, услуги архивов и расходы муниципалитетов только потому, что они оплачиваются по другой бюджетной статье.</w:t>
      </w:r>
    </w:p>
    <w:p>
      <w:pPr>
        <w:pStyle w:val="BodyText"/>
        <w:widowControl/>
      </w:pPr>
      <w:r>
        <w:rPr>
          <w:rFonts w:ascii="Carlito" w:hAnsi="Carlito" w:eastAsia="Carlito"/>
        </w:rPr>
        <w:t xml:space="preserve">Полный периметр охватывает регистрацию и проверку права участия, офлайн-точки и мобильные группы, доступность и перевод, редакционную обработку, экспертизу последствий, общественное обсуждение, временные гражданские панели, голосование, официальное информирование, мониторинг, открытые данные, архив, аудит, тестирование безопасности, обжалование, обучение персонала, страхование и компенсацию ущерба, а также завершение временного режима.</w:t>
      </w:r>
    </w:p>
    <w:bookmarkEnd w:id="79"/>
    <w:bookmarkStart w:id="80" w:name="структура-бюджета"/>
    <w:p>
      <w:pPr>
        <w:pStyle w:val="Heading2"/>
        <w:keepNext/>
        <w:keepLines/>
        <w:widowControl/>
        <w:spacing w:before="160" w:after="100"/>
      </w:pPr>
      <w:r>
        <w:rPr>
          <w:rFonts w:ascii="Carlito" w:hAnsi="Carlito" w:eastAsia="Carlito"/>
        </w:rPr>
        <w:t xml:space="preserve">4. Структура бюджета</w:t>
      </w:r>
    </w:p>
    <w:tbl>
      <w:tblPr>
        <w:tblStyle w:val="TableGrid"/>
        <w:tblW w:type="pct" w:w="5000"/>
        <w:jc w:val="center"/>
        <w:tblLayout w:type="fixed"/>
        <w:tblLook w:firstRow="1" w:lastRow="0" w:firstColumn="0" w:lastColumn="0" w:noHBand="0" w:noVBand="0" w:val="0020"/>
      </w:tblPr>
      <w:tblGrid>
        <w:gridCol w:w="2640"/>
        <w:gridCol w:w="2640"/>
        <w:gridCol w:w="2640"/>
      </w:tblGrid>
      <w:tr>
        <w:trPr>
          <w:tblHeader w:val="true"/>
          <w:tblHeader w:val="true"/>
          <w:cantSplit/>
          <w:tblHeader w:val="true"/>
        </w:trPr>
        <w:tc>
          <w:tcPr>
            <w:tcMar>
              <w:top w:w="65" w:type="dxa"/>
              <w:start w:w="65" w:type="dxa"/>
              <w:bottom w:w="65" w:type="dxa"/>
              <w:end w:w="65" w:type="dxa"/>
            </w:tcMar>
            <w:vAlign w:val="center"/>
            <w:shd w:fill="17365D"/>
            <w:tcW w:type="dxa" w:w="1800"/>
          </w:tcPr>
          <w:p>
            <w:pPr>
              <w:spacing w:after="40" w:line="240" w:lineRule="auto" w:before="0"/>
              <w:jc w:val="center"/>
            </w:pPr>
            <w:r>
              <w:rPr>
                <w:rFonts w:ascii="Carlito" w:hAnsi="Carlito" w:eastAsia="Carlito"/>
                <w:b/>
                <w:color w:val="FFFFFF"/>
                <w:sz w:val="16"/>
              </w:rPr>
              <w:t xml:space="preserve">Контур</w:t>
            </w:r>
          </w:p>
        </w:tc>
        <w:tc>
          <w:tcPr>
            <w:tcMar>
              <w:top w:w="65" w:type="dxa"/>
              <w:start w:w="65" w:type="dxa"/>
              <w:bottom w:w="65" w:type="dxa"/>
              <w:end w:w="65" w:type="dxa"/>
            </w:tcMar>
            <w:vAlign w:val="center"/>
            <w:shd w:fill="17365D"/>
            <w:tcW w:type="dxa" w:w="4824"/>
          </w:tcPr>
          <w:p>
            <w:pPr>
              <w:spacing w:after="40" w:line="240" w:lineRule="auto" w:before="0"/>
              <w:jc w:val="center"/>
            </w:pPr>
            <w:r>
              <w:rPr>
                <w:rFonts w:ascii="Carlito" w:hAnsi="Carlito" w:eastAsia="Carlito"/>
                <w:b/>
                <w:color w:val="FFFFFF"/>
                <w:sz w:val="16"/>
              </w:rPr>
              <w:t xml:space="preserve">Содержание</w:t>
            </w:r>
          </w:p>
        </w:tc>
        <w:tc>
          <w:tcPr>
            <w:tcMar>
              <w:top w:w="65" w:type="dxa"/>
              <w:start w:w="65" w:type="dxa"/>
              <w:bottom w:w="65" w:type="dxa"/>
              <w:end w:w="65" w:type="dxa"/>
            </w:tcMar>
            <w:vAlign w:val="center"/>
            <w:shd w:fill="17365D"/>
            <w:tcW w:type="dxa" w:w="3384"/>
          </w:tcPr>
          <w:p>
            <w:pPr>
              <w:spacing w:after="40" w:line="240" w:lineRule="auto" w:before="0"/>
              <w:jc w:val="center"/>
            </w:pPr>
            <w:r>
              <w:rPr>
                <w:rFonts w:ascii="Carlito" w:hAnsi="Carlito" w:eastAsia="Carlito"/>
                <w:b/>
                <w:color w:val="FFFFFF"/>
                <w:sz w:val="16"/>
              </w:rPr>
              <w:t xml:space="preserve">Правило</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Базовая инфраструктура</w:t>
            </w:r>
          </w:p>
        </w:tc>
        <w:tc>
          <w:tcPr>
            <w:tcMar>
              <w:top w:w="65" w:type="dxa"/>
              <w:start w:w="65" w:type="dxa"/>
              <w:bottom w:w="65" w:type="dxa"/>
              <w:end w:w="65" w:type="dxa"/>
            </w:tcMar>
            <w:vAlign w:val="center"/>
            <w:tcW w:type="dxa" w:w="4824"/>
          </w:tcPr>
          <w:p>
            <w:pPr>
              <w:spacing w:after="40" w:line="240" w:lineRule="auto" w:before="0"/>
              <w:jc w:val="left"/>
            </w:pPr>
            <w:r>
              <w:rPr>
                <w:rFonts w:ascii="Carlito" w:hAnsi="Carlito" w:eastAsia="Carlito"/>
                <w:b w:val="0"/>
                <w:color w:val="000000"/>
                <w:sz w:val="16"/>
              </w:rPr>
              <w:t xml:space="preserve">Открытые стандарты, реестр, архив, интеграционные компоненты, минимальная кадровая способность.</w:t>
            </w:r>
          </w:p>
        </w:tc>
        <w:tc>
          <w:tcPr>
            <w:tcMar>
              <w:top w:w="65" w:type="dxa"/>
              <w:start w:w="65" w:type="dxa"/>
              <w:bottom w:w="65" w:type="dxa"/>
              <w:end w:w="65" w:type="dxa"/>
            </w:tcMar>
            <w:vAlign w:val="center"/>
            <w:tcW w:type="dxa" w:w="3384"/>
          </w:tcPr>
          <w:p>
            <w:pPr>
              <w:spacing w:after="40" w:line="240" w:lineRule="auto" w:before="0"/>
              <w:jc w:val="left"/>
            </w:pPr>
            <w:r>
              <w:rPr>
                <w:rFonts w:ascii="Carlito" w:hAnsi="Carlito" w:eastAsia="Carlito"/>
                <w:b w:val="0"/>
                <w:color w:val="000000"/>
                <w:sz w:val="16"/>
              </w:rPr>
              <w:t xml:space="preserve">Отдельно от стоимости политического цикла; переиспользование допускается только при доказанной совместимости целей.</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Цикл</w:t>
            </w:r>
          </w:p>
        </w:tc>
        <w:tc>
          <w:tcPr>
            <w:tcMar>
              <w:top w:w="65" w:type="dxa"/>
              <w:start w:w="65" w:type="dxa"/>
              <w:bottom w:w="65" w:type="dxa"/>
              <w:end w:w="65" w:type="dxa"/>
            </w:tcMar>
            <w:vAlign w:val="center"/>
            <w:shd w:fill="EEF3F8"/>
            <w:tcW w:type="dxa" w:w="4824"/>
          </w:tcPr>
          <w:p>
            <w:pPr>
              <w:spacing w:after="40" w:line="240" w:lineRule="auto" w:before="0"/>
              <w:jc w:val="left"/>
            </w:pPr>
            <w:r>
              <w:rPr>
                <w:rFonts w:ascii="Carlito" w:hAnsi="Carlito" w:eastAsia="Carlito"/>
                <w:b w:val="0"/>
                <w:color w:val="000000"/>
                <w:sz w:val="16"/>
              </w:rPr>
              <w:t xml:space="preserve">Приём инициатив, поддержка, редакция, экспертиза, обсуждение, панели, голосование, публикация деклараций.</w:t>
            </w:r>
          </w:p>
        </w:tc>
        <w:tc>
          <w:tcPr>
            <w:tcMar>
              <w:top w:w="65" w:type="dxa"/>
              <w:start w:w="65" w:type="dxa"/>
              <w:bottom w:w="65" w:type="dxa"/>
              <w:end w:w="65" w:type="dxa"/>
            </w:tcMar>
            <w:vAlign w:val="center"/>
            <w:shd w:fill="EEF3F8"/>
            <w:tcW w:type="dxa" w:w="3384"/>
          </w:tcPr>
          <w:p>
            <w:pPr>
              <w:spacing w:after="40" w:line="240" w:lineRule="auto" w:before="0"/>
              <w:jc w:val="left"/>
            </w:pPr>
            <w:r>
              <w:rPr>
                <w:rFonts w:ascii="Carlito" w:hAnsi="Carlito" w:eastAsia="Carlito"/>
                <w:b w:val="0"/>
                <w:color w:val="000000"/>
                <w:sz w:val="16"/>
              </w:rPr>
              <w:t xml:space="preserve">Утверждается на каждый цикл с лимитами и календарём.</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Равенство и доступность</w:t>
            </w:r>
          </w:p>
        </w:tc>
        <w:tc>
          <w:tcPr>
            <w:tcMar>
              <w:top w:w="65" w:type="dxa"/>
              <w:start w:w="65" w:type="dxa"/>
              <w:bottom w:w="65" w:type="dxa"/>
              <w:end w:w="65" w:type="dxa"/>
            </w:tcMar>
            <w:vAlign w:val="center"/>
            <w:tcW w:type="dxa" w:w="4824"/>
          </w:tcPr>
          <w:p>
            <w:pPr>
              <w:spacing w:after="40" w:line="240" w:lineRule="auto" w:before="0"/>
              <w:jc w:val="left"/>
            </w:pPr>
            <w:r>
              <w:rPr>
                <w:rFonts w:ascii="Carlito" w:hAnsi="Carlito" w:eastAsia="Carlito"/>
                <w:b w:val="0"/>
                <w:color w:val="000000"/>
                <w:sz w:val="16"/>
              </w:rPr>
              <w:t xml:space="preserve">Офлайн-точки, мобильные группы, языки, приспособления для инвалидности, компенсация участия.</w:t>
            </w:r>
          </w:p>
        </w:tc>
        <w:tc>
          <w:tcPr>
            <w:tcMar>
              <w:top w:w="65" w:type="dxa"/>
              <w:start w:w="65" w:type="dxa"/>
              <w:bottom w:w="65" w:type="dxa"/>
              <w:end w:w="65" w:type="dxa"/>
            </w:tcMar>
            <w:vAlign w:val="center"/>
            <w:tcW w:type="dxa" w:w="3384"/>
          </w:tcPr>
          <w:p>
            <w:pPr>
              <w:spacing w:after="40" w:line="240" w:lineRule="auto" w:before="0"/>
              <w:jc w:val="left"/>
            </w:pPr>
            <w:r>
              <w:rPr>
                <w:rFonts w:ascii="Carlito" w:hAnsi="Carlito" w:eastAsia="Carlito"/>
                <w:b w:val="0"/>
                <w:color w:val="000000"/>
                <w:sz w:val="16"/>
              </w:rPr>
              <w:t xml:space="preserve">Не является резервом для сокращения; недофинансирование ограничивает масштаб, а не права.</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Безопасность и приватность</w:t>
            </w:r>
          </w:p>
        </w:tc>
        <w:tc>
          <w:tcPr>
            <w:tcMar>
              <w:top w:w="65" w:type="dxa"/>
              <w:start w:w="65" w:type="dxa"/>
              <w:bottom w:w="65" w:type="dxa"/>
              <w:end w:w="65" w:type="dxa"/>
            </w:tcMar>
            <w:vAlign w:val="center"/>
            <w:shd w:fill="EEF3F8"/>
            <w:tcW w:type="dxa" w:w="4824"/>
          </w:tcPr>
          <w:p>
            <w:pPr>
              <w:spacing w:after="40" w:line="240" w:lineRule="auto" w:before="0"/>
              <w:jc w:val="left"/>
            </w:pPr>
            <w:r>
              <w:rPr>
                <w:rFonts w:ascii="Carlito" w:hAnsi="Carlito" w:eastAsia="Carlito"/>
                <w:b w:val="0"/>
                <w:color w:val="000000"/>
                <w:sz w:val="16"/>
              </w:rPr>
              <w:t xml:space="preserve">Аудиты, атаковые тесты, независимые сборки, резерв, реагирование, доказательство удаления.</w:t>
            </w:r>
          </w:p>
        </w:tc>
        <w:tc>
          <w:tcPr>
            <w:tcMar>
              <w:top w:w="65" w:type="dxa"/>
              <w:start w:w="65" w:type="dxa"/>
              <w:bottom w:w="65" w:type="dxa"/>
              <w:end w:w="65" w:type="dxa"/>
            </w:tcMar>
            <w:vAlign w:val="center"/>
            <w:shd w:fill="EEF3F8"/>
            <w:tcW w:type="dxa" w:w="3384"/>
          </w:tcPr>
          <w:p>
            <w:pPr>
              <w:spacing w:after="40" w:line="240" w:lineRule="auto" w:before="0"/>
              <w:jc w:val="left"/>
            </w:pPr>
            <w:r>
              <w:rPr>
                <w:rFonts w:ascii="Carlito" w:hAnsi="Carlito" w:eastAsia="Carlito"/>
                <w:b w:val="0"/>
                <w:color w:val="000000"/>
                <w:sz w:val="16"/>
              </w:rPr>
              <w:t xml:space="preserve">Критическая статья; нельзя заменять декларацией оператора.</w:t>
            </w:r>
          </w:p>
        </w:tc>
      </w:tr>
      <w:tr>
        <w:trPr>
          <w:cantSplit/>
        </w:trPr>
        <w:tc>
          <w:tcPr>
            <w:tcMar>
              <w:top w:w="65" w:type="dxa"/>
              <w:start w:w="65" w:type="dxa"/>
              <w:bottom w:w="65" w:type="dxa"/>
              <w:end w:w="65" w:type="dxa"/>
            </w:tcMar>
            <w:vAlign w:val="center"/>
            <w:tcW w:type="dxa" w:w="1800"/>
          </w:tcPr>
          <w:p>
            <w:pPr>
              <w:spacing w:after="40" w:line="240" w:lineRule="auto" w:before="0"/>
              <w:jc w:val="left"/>
            </w:pPr>
            <w:r>
              <w:rPr>
                <w:rFonts w:ascii="Carlito" w:hAnsi="Carlito" w:eastAsia="Carlito"/>
                <w:b w:val="0"/>
                <w:color w:val="000000"/>
                <w:sz w:val="16"/>
              </w:rPr>
              <w:t xml:space="preserve">Контроль и оценка</w:t>
            </w:r>
          </w:p>
        </w:tc>
        <w:tc>
          <w:tcPr>
            <w:tcMar>
              <w:top w:w="65" w:type="dxa"/>
              <w:start w:w="65" w:type="dxa"/>
              <w:bottom w:w="65" w:type="dxa"/>
              <w:end w:w="65" w:type="dxa"/>
            </w:tcMar>
            <w:vAlign w:val="center"/>
            <w:tcW w:type="dxa" w:w="4824"/>
          </w:tcPr>
          <w:p>
            <w:pPr>
              <w:spacing w:after="40" w:line="240" w:lineRule="auto" w:before="0"/>
              <w:jc w:val="left"/>
            </w:pPr>
            <w:r>
              <w:rPr>
                <w:rFonts w:ascii="Carlito" w:hAnsi="Carlito" w:eastAsia="Carlito"/>
                <w:b w:val="0"/>
                <w:color w:val="000000"/>
                <w:sz w:val="16"/>
              </w:rPr>
              <w:t xml:space="preserve">Финансовый аудит, процессный аудит, независимая оценка, апелляции, архивирование.</w:t>
            </w:r>
          </w:p>
        </w:tc>
        <w:tc>
          <w:tcPr>
            <w:tcMar>
              <w:top w:w="65" w:type="dxa"/>
              <w:start w:w="65" w:type="dxa"/>
              <w:bottom w:w="65" w:type="dxa"/>
              <w:end w:w="65" w:type="dxa"/>
            </w:tcMar>
            <w:vAlign w:val="center"/>
            <w:tcW w:type="dxa" w:w="3384"/>
          </w:tcPr>
          <w:p>
            <w:pPr>
              <w:spacing w:after="40" w:line="240" w:lineRule="auto" w:before="0"/>
              <w:jc w:val="left"/>
            </w:pPr>
            <w:r>
              <w:rPr>
                <w:rFonts w:ascii="Carlito" w:hAnsi="Carlito" w:eastAsia="Carlito"/>
                <w:b w:val="0"/>
                <w:color w:val="000000"/>
                <w:sz w:val="16"/>
              </w:rPr>
              <w:t xml:space="preserve">Организационно отделены от оператора и оплачиваются без зависимости от положительного вывода.</w:t>
            </w:r>
          </w:p>
        </w:tc>
      </w:tr>
      <w:tr>
        <w:trPr>
          <w:cantSplit/>
        </w:trPr>
        <w:tc>
          <w:tcPr>
            <w:tcMar>
              <w:top w:w="65" w:type="dxa"/>
              <w:start w:w="65" w:type="dxa"/>
              <w:bottom w:w="65" w:type="dxa"/>
              <w:end w:w="65" w:type="dxa"/>
            </w:tcMar>
            <w:vAlign w:val="center"/>
            <w:shd w:fill="EEF3F8"/>
            <w:tcW w:type="dxa" w:w="1800"/>
          </w:tcPr>
          <w:p>
            <w:pPr>
              <w:spacing w:after="40" w:line="240" w:lineRule="auto" w:before="0"/>
              <w:jc w:val="left"/>
            </w:pPr>
            <w:r>
              <w:rPr>
                <w:rFonts w:ascii="Carlito" w:hAnsi="Carlito" w:eastAsia="Carlito"/>
                <w:b w:val="0"/>
                <w:color w:val="000000"/>
                <w:sz w:val="16"/>
              </w:rPr>
              <w:t xml:space="preserve">Завершение</w:t>
            </w:r>
          </w:p>
        </w:tc>
        <w:tc>
          <w:tcPr>
            <w:tcMar>
              <w:top w:w="65" w:type="dxa"/>
              <w:start w:w="65" w:type="dxa"/>
              <w:bottom w:w="65" w:type="dxa"/>
              <w:end w:w="65" w:type="dxa"/>
            </w:tcMar>
            <w:vAlign w:val="center"/>
            <w:shd w:fill="EEF3F8"/>
            <w:tcW w:type="dxa" w:w="4824"/>
          </w:tcPr>
          <w:p>
            <w:pPr>
              <w:spacing w:after="40" w:line="240" w:lineRule="auto" w:before="0"/>
              <w:jc w:val="left"/>
            </w:pPr>
            <w:r>
              <w:rPr>
                <w:rFonts w:ascii="Carlito" w:hAnsi="Carlito" w:eastAsia="Carlito"/>
                <w:b w:val="0"/>
                <w:color w:val="000000"/>
                <w:sz w:val="16"/>
              </w:rPr>
              <w:t xml:space="preserve">Закрытие временных органов, миграция данных, уничтожение, передача архива, компенсация ущерба.</w:t>
            </w:r>
          </w:p>
        </w:tc>
        <w:tc>
          <w:tcPr>
            <w:tcMar>
              <w:top w:w="65" w:type="dxa"/>
              <w:start w:w="65" w:type="dxa"/>
              <w:bottom w:w="65" w:type="dxa"/>
              <w:end w:w="65" w:type="dxa"/>
            </w:tcMar>
            <w:vAlign w:val="center"/>
            <w:shd w:fill="EEF3F8"/>
            <w:tcW w:type="dxa" w:w="3384"/>
          </w:tcPr>
          <w:p>
            <w:pPr>
              <w:spacing w:after="40" w:line="240" w:lineRule="auto" w:before="0"/>
              <w:jc w:val="left"/>
            </w:pPr>
            <w:r>
              <w:rPr>
                <w:rFonts w:ascii="Carlito" w:hAnsi="Carlito" w:eastAsia="Carlito"/>
                <w:b w:val="0"/>
                <w:color w:val="000000"/>
                <w:sz w:val="16"/>
              </w:rPr>
              <w:t xml:space="preserve">Резервируется до запуска; завершение не зависит от будущего финансирования.</w:t>
            </w:r>
          </w:p>
        </w:tc>
      </w:tr>
    </w:tbl>
    <w:bookmarkEnd w:id="80"/>
    <w:bookmarkStart w:id="81" w:name="утверждение-бюджета"/>
    <w:p>
      <w:pPr>
        <w:pStyle w:val="Heading2"/>
        <w:keepNext/>
        <w:keepLines/>
        <w:widowControl/>
        <w:spacing w:before="160" w:after="100"/>
      </w:pPr>
      <w:r>
        <w:rPr>
          <w:rFonts w:ascii="Carlito" w:hAnsi="Carlito" w:eastAsia="Carlito"/>
        </w:rPr>
        <w:t xml:space="preserve">5. Утверждение бюджета</w:t>
      </w:r>
    </w:p>
    <w:p>
      <w:pPr>
        <w:pStyle w:val="FirstParagraph"/>
        <w:widowControl/>
        <w:spacing w:line="259" w:lineRule="auto" w:after="90"/>
        <w:ind w:firstLine="360"/>
      </w:pPr>
      <w:r>
        <w:rPr>
          <w:rFonts w:ascii="Carlito" w:hAnsi="Carlito" w:eastAsia="Carlito"/>
        </w:rPr>
        <w:t xml:space="preserve">Финансирование утверждается парламентом или иным конституционно компетентным представительным органом в обычной бюджетной процедуре. Отдельный орган Доктрины не получает автоматической доли национального дохода, налогов или расходов, не подлежащей демократическому пересмотру.</w:t>
      </w:r>
    </w:p>
    <w:p>
      <w:pPr>
        <w:pStyle w:val="BodyText"/>
        <w:widowControl/>
      </w:pPr>
      <w:r>
        <w:rPr>
          <w:rFonts w:ascii="Carlito" w:hAnsi="Carlito" w:eastAsia="Carlito"/>
        </w:rPr>
        <w:t xml:space="preserve">Проект бюджета сопровождается публичной функциональной сметой, сценариями минимального, базового и расширенного масштаба, оценкой альтернативной стоимости и заключением внешнего финансового контролёра. Политическое решение о размере остаётся у парламента, но последствия сокращения раскрываются до голосования.</w:t>
      </w:r>
    </w:p>
    <w:bookmarkEnd w:id="81"/>
    <w:bookmarkStart w:id="82" w:name="X43d91e431fba404197182de6ddbb46e48eb107c"/>
    <w:p>
      <w:pPr>
        <w:pStyle w:val="Heading2"/>
        <w:keepNext/>
        <w:keepLines/>
        <w:widowControl/>
        <w:spacing w:before="160" w:after="100"/>
      </w:pPr>
      <w:r>
        <w:rPr>
          <w:rFonts w:ascii="Carlito" w:hAnsi="Carlito" w:eastAsia="Carlito"/>
        </w:rPr>
        <w:t xml:space="preserve">6. Минимум готовности и запрет имитационного недофинансирования</w:t>
      </w:r>
    </w:p>
    <w:p>
      <w:pPr>
        <w:pStyle w:val="FirstParagraph"/>
        <w:widowControl/>
        <w:spacing w:line="259" w:lineRule="auto" w:after="90"/>
        <w:ind w:firstLine="360"/>
      </w:pPr>
      <w:r>
        <w:rPr>
          <w:rFonts w:ascii="Carlito" w:hAnsi="Carlito" w:eastAsia="Carlito"/>
        </w:rPr>
        <w:t xml:space="preserve">Если утверждённые средства не позволяют обеспечить обязательные стандарты тайны, безопасности, офлайн-доступа, независимого аудита и обжалования, юридически значимый цикл не запускается. Допускается сузить число тем, территорию или набор модулей, но не проводить дешёвую имитацию с последующим использованием результата как полноценного мандата.</w:t>
      </w:r>
    </w:p>
    <w:p>
      <w:pPr>
        <w:pStyle w:val="BodyText"/>
        <w:widowControl/>
      </w:pPr>
      <w:r>
        <w:rPr>
          <w:rFonts w:ascii="Carlito" w:hAnsi="Carlito" w:eastAsia="Carlito"/>
        </w:rPr>
        <w:t xml:space="preserve">Недостаток средств не даёт оператору права самостоятельно отменить установленную законом гарантию. Он обязан представить несколько сценариев сокращения масштаба и открыто указать последствия каждого.</w:t>
      </w:r>
    </w:p>
    <w:bookmarkEnd w:id="82"/>
    <w:bookmarkStart w:id="83" w:name="потолки-расходов-и-численности"/>
    <w:p>
      <w:pPr>
        <w:widowControl/>
      </w:pPr>
      <w:r>
        <w:t>Критические функции доступности, безопасности, аудита, защиты данных и независимого обжалования образуют минимальный периметр готовности. Закон не закрепляет автоматический процент бюджета, но сокращение ниже безопасного уровня требует публичного анализа риска и приостановки функции, которую невозможно финансировать добросовестно.</w:t>
      </w:r>
    </w:p>
    <w:p>
      <w:pPr>
        <w:pStyle w:val="Heading2"/>
        <w:keepNext/>
        <w:keepLines/>
        <w:widowControl/>
        <w:spacing w:before="160" w:after="100"/>
      </w:pPr>
      <w:r>
        <w:rPr>
          <w:rFonts w:ascii="Carlito" w:hAnsi="Carlito" w:eastAsia="Carlito"/>
        </w:rPr>
        <w:t xml:space="preserve">7. Потолки расходов и численности</w:t>
      </w:r>
    </w:p>
    <w:p>
      <w:pPr>
        <w:pStyle w:val="FirstParagraph"/>
        <w:widowControl/>
        <w:spacing w:line="259" w:lineRule="auto" w:after="90"/>
        <w:ind w:firstLine="360"/>
      </w:pPr>
      <w:r>
        <w:rPr>
          <w:rFonts w:ascii="Carlito" w:hAnsi="Carlito" w:eastAsia="Carlito"/>
        </w:rPr>
        <w:t xml:space="preserve">Рамочный закон или бюджет устанавливает предельную постоянную численность, долю административных расходов, стоимость внешних консультантов и потолок расходов на один цикл. Превышение требует отдельной публичной мотивировки, а не автоматического переноса из резерва.</w:t>
      </w:r>
    </w:p>
    <w:p>
      <w:pPr>
        <w:pStyle w:val="BodyText"/>
        <w:widowControl/>
      </w:pPr>
      <w:r>
        <w:rPr>
          <w:rFonts w:ascii="Carlito" w:hAnsi="Carlito" w:eastAsia="Carlito"/>
        </w:rPr>
        <w:t xml:space="preserve">Потолок не применяется механически, если его соблюдение нарушит права или безопасность; в таком случае масштаб процедуры уменьшается либо цикл переносится.</w:t>
      </w:r>
    </w:p>
    <w:bookmarkEnd w:id="83"/>
    <w:bookmarkStart w:id="84" w:name="полная-стоимость-и-единицы-сравнения"/>
    <w:p>
      <w:pPr>
        <w:pStyle w:val="Heading2"/>
        <w:keepNext/>
        <w:keepLines/>
        <w:widowControl/>
        <w:spacing w:before="160" w:after="100"/>
      </w:pPr>
      <w:r>
        <w:rPr>
          <w:rFonts w:ascii="Carlito" w:hAnsi="Carlito" w:eastAsia="Carlito"/>
        </w:rPr>
        <w:t xml:space="preserve">8. Полная стоимость и единицы сравнения</w:t>
      </w:r>
    </w:p>
    <w:p>
      <w:pPr>
        <w:pStyle w:val="FirstParagraph"/>
        <w:widowControl/>
        <w:spacing w:line="259" w:lineRule="auto" w:after="90"/>
        <w:ind w:firstLine="360"/>
      </w:pPr>
      <w:r>
        <w:rPr>
          <w:rFonts w:ascii="Carlito" w:hAnsi="Carlito" w:eastAsia="Carlito"/>
        </w:rPr>
        <w:t xml:space="preserve">После каждого цикла публикуются: стоимость одного уникального участника; одной обработанной инициативы; одного пункта, дошедшего до финального решения; одной обоснованной жалобы; одного года хранения и аудита; стоимость офлайн-канала; стоимость безопасности и завершения. Эти показатели сравниваются с контрольной альтернативой.</w:t>
      </w:r>
    </w:p>
    <w:p>
      <w:pPr>
        <w:pStyle w:val="BodyText"/>
        <w:widowControl/>
      </w:pPr>
      <w:r>
        <w:rPr>
          <w:rFonts w:ascii="Carlito" w:hAnsi="Carlito" w:eastAsia="Carlito"/>
        </w:rPr>
        <w:t xml:space="preserve">Снижение стоимости не считается успехом, если достигнуто за счёт исключения групп, ослабления приватности, переноса расходов на иные уровни власти или использования неоплачиваемого труда без его учёта.</w:t>
      </w:r>
    </w:p>
    <w:bookmarkEnd w:id="84"/>
    <w:bookmarkStart w:id="85" w:name="X74a9c75daee9dffa821e8987553853aa4dde3f6"/>
    <w:p>
      <w:pPr>
        <w:pStyle w:val="Heading2"/>
        <w:keepNext/>
        <w:keepLines/>
        <w:widowControl/>
        <w:spacing w:before="160" w:after="100"/>
      </w:pPr>
      <w:r>
        <w:rPr>
          <w:rFonts w:ascii="Carlito" w:hAnsi="Carlito" w:eastAsia="Carlito"/>
        </w:rPr>
        <w:t xml:space="preserve">9. Финансирование критической инфраструктуры</w:t>
      </w:r>
    </w:p>
    <w:p>
      <w:pPr>
        <w:pStyle w:val="FirstParagraph"/>
        <w:widowControl/>
        <w:spacing w:line="259" w:lineRule="auto" w:after="90"/>
        <w:ind w:firstLine="360"/>
      </w:pPr>
      <w:r>
        <w:rPr>
          <w:rFonts w:ascii="Carlito" w:hAnsi="Carlito" w:eastAsia="Carlito"/>
        </w:rPr>
        <w:t xml:space="preserve">Идентификация, голосование, реестр, архивная неизменность, кибербезопасность, независимый аудит и базовая доступность финансируются из публичных средств. Кандидаты, партии, инициаторы, корпорации, платформы и иностранные субъекты не вправе оплачивать эти функции, предоставлять их бесплатно либо выбирать подрядчиков.</w:t>
      </w:r>
    </w:p>
    <w:p>
      <w:pPr>
        <w:pStyle w:val="BodyText"/>
        <w:widowControl/>
      </w:pPr>
      <w:r>
        <w:rPr>
          <w:rFonts w:ascii="Carlito" w:hAnsi="Carlito" w:eastAsia="Carlito"/>
        </w:rPr>
        <w:t xml:space="preserve">Безвозмездная передача оборудования, облачных ресурсов, данных или лицензий рассматривается как финансирование и допускается только после оценки безопасности, рыночной стоимости, отсутствия зависимости и равного доступа альтернативных поставщиков.</w:t>
      </w:r>
    </w:p>
    <w:bookmarkEnd w:id="85"/>
    <w:bookmarkStart w:id="86" w:name="финансирование-гражданских-кампаний"/>
    <w:p>
      <w:pPr>
        <w:widowControl/>
      </w:pPr>
      <w:r>
        <w:t>Параметры порогов, числа тем, долей каналов, сроков и стоимости выбираются через публичное моделирование альтернатив, независимую оценку и замораживаются минимум на полный цикл. Бюджет не используется для скрытой перенастройки политического результата.</w:t>
      </w:r>
    </w:p>
    <w:p>
      <w:pPr>
        <w:pStyle w:val="Heading2"/>
        <w:keepNext/>
        <w:keepLines/>
        <w:widowControl/>
        <w:spacing w:before="160" w:after="100"/>
      </w:pPr>
      <w:r>
        <w:rPr>
          <w:rFonts w:ascii="Carlito" w:hAnsi="Carlito" w:eastAsia="Carlito"/>
        </w:rPr>
        <w:t xml:space="preserve">10. Финансирование гражданских кампаний</w:t>
      </w:r>
    </w:p>
    <w:p>
      <w:pPr>
        <w:pStyle w:val="FirstParagraph"/>
        <w:widowControl/>
        <w:spacing w:line="259" w:lineRule="auto" w:after="90"/>
        <w:ind w:firstLine="360"/>
      </w:pPr>
      <w:r>
        <w:rPr>
          <w:rFonts w:ascii="Carlito" w:hAnsi="Carlito" w:eastAsia="Carlito"/>
        </w:rPr>
        <w:t xml:space="preserve">Граждане и организации вправе собирать средства на поддержку или критику инициатив в пределах общего законодательства о политическом финансировании. Профессиональные расходы, крупные пожертвования, связанное финансирование и неденежная поддержка раскрываются. Малые пожертвования и добровольный труд публикуются агрегированно, без создания открытого списка политических предпочтений.</w:t>
      </w:r>
    </w:p>
    <w:p>
      <w:pPr>
        <w:pStyle w:val="BodyText"/>
        <w:widowControl/>
      </w:pPr>
      <w:r>
        <w:rPr>
          <w:rFonts w:ascii="Carlito" w:hAnsi="Carlito" w:eastAsia="Carlito"/>
        </w:rPr>
        <w:t xml:space="preserve">Запрещается использовать государственные средства, служебные базы, подконтрольных работников или обязательные корпоративные взносы для имитации независимой общественной кампании.</w:t>
      </w:r>
    </w:p>
    <w:bookmarkEnd w:id="86"/>
    <w:bookmarkStart w:id="87" w:name="равенство-возможностей"/>
    <w:p>
      <w:pPr>
        <w:pStyle w:val="Heading2"/>
        <w:keepNext/>
        <w:keepLines/>
        <w:widowControl/>
        <w:spacing w:before="160" w:after="100"/>
      </w:pPr>
      <w:r>
        <w:rPr>
          <w:rFonts w:ascii="Carlito" w:hAnsi="Carlito" w:eastAsia="Carlito"/>
        </w:rPr>
        <w:t xml:space="preserve">11. Равенство возможностей</w:t>
      </w:r>
    </w:p>
    <w:p>
      <w:pPr>
        <w:pStyle w:val="FirstParagraph"/>
        <w:widowControl/>
        <w:spacing w:line="259" w:lineRule="auto" w:after="90"/>
        <w:ind w:firstLine="360"/>
      </w:pPr>
      <w:r>
        <w:rPr>
          <w:rFonts w:ascii="Carlito" w:hAnsi="Carlito" w:eastAsia="Carlito"/>
        </w:rPr>
        <w:t xml:space="preserve">Государство может предоставлять одинаковые базовые возможности всем инициативам, достигшим установленной стадии: стандартную страницу, доступ к публичным данным, перевод, приспособления для инвалидности и ограниченное нейтральное разъяснение процедуры. Оно не финансирует политическую убедительность одной позиции и не оплачивает кампанию за или против.</w:t>
      </w:r>
    </w:p>
    <w:p>
      <w:pPr>
        <w:pStyle w:val="BodyText"/>
        <w:widowControl/>
      </w:pPr>
      <w:r>
        <w:rPr>
          <w:rFonts w:ascii="Carlito" w:hAnsi="Carlito" w:eastAsia="Carlito"/>
        </w:rPr>
        <w:t xml:space="preserve">Специальная поддержка малоресурсной или затрагиваемой группы направлена на устранение барьера, а не на увеличение веса голоса. Критерии объективны, опубликованы и обжалуемы.</w:t>
      </w:r>
    </w:p>
    <w:bookmarkEnd w:id="87"/>
    <w:bookmarkStart w:id="88" w:name="финансирование-экспертизы-и-оценки"/>
    <w:p>
      <w:pPr>
        <w:pStyle w:val="Heading2"/>
        <w:keepNext/>
        <w:keepLines/>
        <w:widowControl/>
        <w:spacing w:before="160" w:after="100"/>
      </w:pPr>
      <w:r>
        <w:rPr>
          <w:rFonts w:ascii="Carlito" w:hAnsi="Carlito" w:eastAsia="Carlito"/>
        </w:rPr>
        <w:t xml:space="preserve">12. Финансирование экспертизы и оценки</w:t>
      </w:r>
    </w:p>
    <w:p>
      <w:pPr>
        <w:pStyle w:val="FirstParagraph"/>
        <w:widowControl/>
        <w:spacing w:line="259" w:lineRule="auto" w:after="90"/>
        <w:ind w:firstLine="360"/>
      </w:pPr>
      <w:r>
        <w:rPr>
          <w:rFonts w:ascii="Carlito" w:hAnsi="Carlito" w:eastAsia="Carlito"/>
        </w:rPr>
        <w:t xml:space="preserve">Экспертные команды получают оплату за объём и качество работы, а не за желаемый вывод. Бюджет предусматривает альтернативные модели, независимое рецензирование и публикацию особых мнений. Орган, заинтересованный в прохождении инициативы, не выбирает единственного эксперта.</w:t>
      </w:r>
    </w:p>
    <w:p>
      <w:pPr>
        <w:pStyle w:val="BodyText"/>
        <w:widowControl/>
      </w:pPr>
      <w:r>
        <w:rPr>
          <w:rFonts w:ascii="Carlito" w:hAnsi="Carlito" w:eastAsia="Carlito"/>
        </w:rPr>
        <w:t xml:space="preserve">Договор эксперта или оценщика не может ставить оплату, продление или репутационную оценку в зависимость от подтверждения официальной позиции либо признания пилота успешным.</w:t>
      </w:r>
    </w:p>
    <w:bookmarkEnd w:id="88"/>
    <w:bookmarkStart w:id="89" w:name="Xbaa7eeba9f3a898c08c3c442447f77870a54482"/>
    <w:p>
      <w:pPr>
        <w:pStyle w:val="Heading2"/>
        <w:keepNext/>
        <w:keepLines/>
        <w:widowControl/>
        <w:spacing w:before="160" w:after="100"/>
      </w:pPr>
      <w:r>
        <w:rPr>
          <w:rFonts w:ascii="Carlito" w:hAnsi="Carlito" w:eastAsia="Carlito"/>
        </w:rPr>
        <w:t xml:space="preserve">13. Закупки и защита от зависимости от поставщика</w:t>
      </w:r>
    </w:p>
    <w:p>
      <w:pPr>
        <w:pStyle w:val="FirstParagraph"/>
        <w:widowControl/>
        <w:spacing w:line="259" w:lineRule="auto" w:after="90"/>
        <w:ind w:firstLine="360"/>
      </w:pPr>
      <w:r>
        <w:rPr>
          <w:rFonts w:ascii="Carlito" w:hAnsi="Carlito" w:eastAsia="Carlito"/>
        </w:rPr>
        <w:t xml:space="preserve">Обязательны:</w:t>
      </w:r>
    </w:p>
    <w:p>
      <w:pPr>
        <w:pStyle w:val="Compact"/>
        <w:widowControl/>
        <w:numPr>
          <w:ilvl w:val="0"/>
          <w:numId w:val="1009"/>
        </w:numPr>
        <w:spacing w:line="259" w:lineRule="auto" w:after="90"/>
      </w:pPr>
      <w:r>
        <w:rPr>
          <w:rFonts w:ascii="Carlito" w:hAnsi="Carlito" w:eastAsia="Carlito"/>
        </w:rPr>
        <w:t xml:space="preserve">открытые технические спецификации и машиночитаемые форматы;</w:t>
      </w:r>
    </w:p>
    <w:p>
      <w:pPr>
        <w:pStyle w:val="Compact"/>
        <w:widowControl/>
        <w:numPr>
          <w:ilvl w:val="0"/>
          <w:numId w:val="1009"/>
        </w:numPr>
        <w:spacing w:line="259" w:lineRule="auto" w:after="90"/>
      </w:pPr>
      <w:r>
        <w:rPr>
          <w:rFonts w:ascii="Carlito" w:hAnsi="Carlito" w:eastAsia="Carlito"/>
        </w:rPr>
        <w:t xml:space="preserve">разделение совместимых лотов между идентификацией, действием, хранением, аудитом и интерфейсом;</w:t>
      </w:r>
    </w:p>
    <w:p>
      <w:pPr>
        <w:pStyle w:val="Compact"/>
        <w:widowControl/>
        <w:numPr>
          <w:ilvl w:val="0"/>
          <w:numId w:val="1009"/>
        </w:numPr>
        <w:spacing w:line="259" w:lineRule="auto" w:after="90"/>
      </w:pPr>
      <w:r>
        <w:rPr>
          <w:rFonts w:ascii="Carlito" w:hAnsi="Carlito" w:eastAsia="Carlito"/>
        </w:rPr>
        <w:t xml:space="preserve">переносимость данных, документации, ключей и конфигураций;</w:t>
      </w:r>
    </w:p>
    <w:p>
      <w:pPr>
        <w:pStyle w:val="Compact"/>
        <w:widowControl/>
        <w:numPr>
          <w:ilvl w:val="0"/>
          <w:numId w:val="1009"/>
        </w:numPr>
        <w:spacing w:line="259" w:lineRule="auto" w:after="90"/>
      </w:pPr>
      <w:r>
        <w:rPr>
          <w:rFonts w:ascii="Carlito" w:hAnsi="Carlito" w:eastAsia="Carlito"/>
        </w:rPr>
        <w:t xml:space="preserve">воспроизводимые сборки, реестр компонентов и право независимого тестирования;</w:t>
      </w:r>
    </w:p>
    <w:p>
      <w:pPr>
        <w:pStyle w:val="Compact"/>
        <w:widowControl/>
        <w:numPr>
          <w:ilvl w:val="0"/>
          <w:numId w:val="1009"/>
        </w:numPr>
        <w:spacing w:line="259" w:lineRule="auto" w:after="90"/>
      </w:pPr>
      <w:r>
        <w:rPr>
          <w:rFonts w:ascii="Carlito" w:hAnsi="Carlito" w:eastAsia="Carlito"/>
        </w:rPr>
        <w:t xml:space="preserve">запрет условий, делающих переход к другому поставщику экономически или технически невозможным;</w:t>
      </w:r>
    </w:p>
    <w:p>
      <w:pPr>
        <w:pStyle w:val="Compact"/>
        <w:widowControl/>
        <w:numPr>
          <w:ilvl w:val="0"/>
          <w:numId w:val="1009"/>
        </w:numPr>
        <w:spacing w:line="259" w:lineRule="auto" w:after="90"/>
      </w:pPr>
      <w:r>
        <w:rPr>
          <w:rFonts w:ascii="Carlito" w:hAnsi="Carlito" w:eastAsia="Carlito"/>
        </w:rPr>
        <w:t xml:space="preserve">раскрытие субподрядчиков, конечных бенефициаров и конфликтов интересов;</w:t>
      </w:r>
    </w:p>
    <w:p>
      <w:pPr>
        <w:pStyle w:val="Compact"/>
        <w:widowControl/>
        <w:numPr>
          <w:ilvl w:val="0"/>
          <w:numId w:val="1009"/>
        </w:numPr>
        <w:spacing w:line="259" w:lineRule="auto" w:after="90"/>
      </w:pPr>
      <w:r>
        <w:rPr>
          <w:rFonts w:ascii="Carlito" w:hAnsi="Carlito" w:eastAsia="Carlito"/>
        </w:rPr>
        <w:t xml:space="preserve">договорное право государства продолжить критическую функцию и получить исходные материалы при прекращении поставщика;</w:t>
      </w:r>
    </w:p>
    <w:p>
      <w:pPr>
        <w:pStyle w:val="Compact"/>
        <w:widowControl/>
        <w:numPr>
          <w:ilvl w:val="0"/>
          <w:numId w:val="1009"/>
        </w:numPr>
        <w:spacing w:line="259" w:lineRule="auto" w:after="90"/>
      </w:pPr>
      <w:r>
        <w:rPr>
          <w:rFonts w:ascii="Carlito" w:hAnsi="Carlito" w:eastAsia="Carlito"/>
        </w:rPr>
        <w:t xml:space="preserve">план выхода и оценка стоимости миграции до заключения договора.</w:t>
      </w:r>
    </w:p>
    <w:p>
      <w:pPr>
        <w:pStyle w:val="FirstParagraph"/>
        <w:widowControl/>
        <w:spacing w:line="259" w:lineRule="auto" w:after="90"/>
        <w:ind w:firstLine="360"/>
      </w:pPr>
      <w:r>
        <w:rPr>
          <w:rFonts w:ascii="Carlito" w:hAnsi="Carlito" w:eastAsia="Carlito"/>
        </w:rPr>
        <w:t xml:space="preserve">Разделение лотов не должно создавать бесхозную архитектуру. Назначается единый публичный владелец совместимости, не являющийся поставщиком отдельного критического модуля.</w:t>
      </w:r>
    </w:p>
    <w:bookmarkEnd w:id="89"/>
    <w:bookmarkStart w:id="90" w:name="иностранное-финансирование"/>
    <w:p>
      <w:pPr>
        <w:widowControl/>
      </w:pPr>
      <w:r>
        <w:t>Карта закупок обязана подтверждать инфраструктурную независимость критических контуров. Запрещается общий администратор идентификационной, политической и аудиторской инфраструктуры; предусмотрены несколько поставщиков, переносимость, воспроизводимые сборки и выход без потери данных.</w:t>
      </w:r>
    </w:p>
    <w:p>
      <w:pPr>
        <w:pStyle w:val="Heading2"/>
        <w:keepNext/>
        <w:keepLines/>
        <w:widowControl/>
        <w:spacing w:before="160" w:after="100"/>
      </w:pPr>
      <w:r>
        <w:rPr>
          <w:rFonts w:ascii="Carlito" w:hAnsi="Carlito" w:eastAsia="Carlito"/>
        </w:rPr>
        <w:t xml:space="preserve">14. Иностранное финансирование</w:t>
      </w:r>
    </w:p>
    <w:p>
      <w:pPr>
        <w:pStyle w:val="FirstParagraph"/>
        <w:widowControl/>
        <w:spacing w:line="259" w:lineRule="auto" w:after="90"/>
        <w:ind w:firstLine="360"/>
      </w:pPr>
      <w:r>
        <w:rPr>
          <w:rFonts w:ascii="Carlito" w:hAnsi="Carlito" w:eastAsia="Carlito"/>
        </w:rPr>
        <w:t xml:space="preserve">Иностранное происхождение средств не презюмируется незаконным, но критическая инфраструктура и официальные функции не могут зависеть от иностранного правительства, политической партии или связанного субъекта. Для гражданских кампаний применяются национальные правила, основанные на прозрачности, соразмерности и свободе объединения.</w:t>
      </w:r>
    </w:p>
    <w:p>
      <w:pPr>
        <w:pStyle w:val="BodyText"/>
        <w:widowControl/>
      </w:pPr>
      <w:r>
        <w:rPr>
          <w:rFonts w:ascii="Carlito" w:hAnsi="Carlito" w:eastAsia="Carlito"/>
        </w:rPr>
        <w:t xml:space="preserve">Запрет не должен использоваться для селективного преследования независимых исследовательских или правозащитных организаций. Ограничение основывается на характере контроля и функции, а не на политической позиции.</w:t>
      </w:r>
    </w:p>
    <w:bookmarkEnd w:id="90"/>
    <w:bookmarkStart w:id="91" w:name="финансовая-прозрачность-и-защита-данных"/>
    <w:p>
      <w:pPr>
        <w:pStyle w:val="Heading2"/>
        <w:keepNext/>
        <w:keepLines/>
        <w:widowControl/>
        <w:spacing w:before="160" w:after="100"/>
      </w:pPr>
      <w:r>
        <w:rPr>
          <w:rFonts w:ascii="Carlito" w:hAnsi="Carlito" w:eastAsia="Carlito"/>
        </w:rPr>
        <w:t xml:space="preserve">15. Финансовая прозрачность и защита данных</w:t>
      </w:r>
    </w:p>
    <w:p>
      <w:pPr>
        <w:pStyle w:val="FirstParagraph"/>
        <w:widowControl/>
        <w:spacing w:line="259" w:lineRule="auto" w:after="90"/>
        <w:ind w:firstLine="360"/>
      </w:pPr>
      <w:r>
        <w:rPr>
          <w:rFonts w:ascii="Carlito" w:hAnsi="Carlito" w:eastAsia="Carlito"/>
        </w:rPr>
        <w:t xml:space="preserve">Публикуются бюджеты, договоры, изменения, акты исполнения, стоимость неденежной поддержки и конечные бенефициары поставщиков. При этом персональные данные рядового участника, малого донора, сотрудника низшего уровня и технические сведения, создающие угрозу безопасности, минимизируются или агрегируются.</w:t>
      </w:r>
    </w:p>
    <w:p>
      <w:pPr>
        <w:pStyle w:val="BodyText"/>
        <w:widowControl/>
      </w:pPr>
      <w:r>
        <w:rPr>
          <w:rFonts w:ascii="Carlito" w:hAnsi="Carlito" w:eastAsia="Carlito"/>
        </w:rPr>
        <w:t xml:space="preserve">Публичность договора не означает публикацию ключей, уязвимостей, персональных данных или сведений, раскрывающих конкретного участника политического действия.</w:t>
      </w:r>
    </w:p>
    <w:bookmarkEnd w:id="91"/>
    <w:bookmarkStart w:id="92" w:name="финансовый-контроль"/>
    <w:p>
      <w:pPr>
        <w:pStyle w:val="Heading2"/>
        <w:keepNext/>
        <w:keepLines/>
        <w:widowControl/>
        <w:spacing w:before="160" w:after="100"/>
      </w:pPr>
      <w:r>
        <w:rPr>
          <w:rFonts w:ascii="Carlito" w:hAnsi="Carlito" w:eastAsia="Carlito"/>
        </w:rPr>
        <w:t xml:space="preserve">16. Финансовый контроль</w:t>
      </w:r>
    </w:p>
    <w:p>
      <w:pPr>
        <w:pStyle w:val="FirstParagraph"/>
        <w:widowControl/>
        <w:spacing w:line="259" w:lineRule="auto" w:after="90"/>
        <w:ind w:firstLine="360"/>
      </w:pPr>
      <w:r>
        <w:rPr>
          <w:rFonts w:ascii="Carlito" w:hAnsi="Carlito" w:eastAsia="Carlito"/>
        </w:rPr>
        <w:t xml:space="preserve">Контроль включает предварительную оценку сметы, текущий риск-ориентированный аудит, аудит закупок, итоговый отчёт и право внешней репликации. Финансовый контролёр не определяет политическую ценность инициативы; он проверяет законность, полноту стоимости, конфликты, экономичность и достоверность данных.</w:t>
      </w:r>
    </w:p>
    <w:p>
      <w:pPr>
        <w:pStyle w:val="BodyText"/>
        <w:widowControl/>
      </w:pPr>
      <w:r>
        <w:rPr>
          <w:rFonts w:ascii="Carlito" w:hAnsi="Carlito" w:eastAsia="Carlito"/>
        </w:rPr>
        <w:t xml:space="preserve">Контролёр обязан публиковать не только нарушения, но и ограничения проверки, недоступные данные, особые мнения и реакцию проверяемого субъекта.</w:t>
      </w:r>
    </w:p>
    <w:bookmarkEnd w:id="92"/>
    <w:bookmarkStart w:id="93" w:name="индикаторы-финансового-захвата"/>
    <w:p>
      <w:pPr>
        <w:pStyle w:val="Heading2"/>
        <w:keepNext/>
        <w:keepLines/>
        <w:widowControl/>
        <w:spacing w:before="160" w:after="100"/>
      </w:pPr>
      <w:r>
        <w:rPr>
          <w:rFonts w:ascii="Carlito" w:hAnsi="Carlito" w:eastAsia="Carlito"/>
        </w:rPr>
        <w:t xml:space="preserve">17. Индикаторы финансового захвата</w:t>
      </w:r>
    </w:p>
    <w:p>
      <w:pPr>
        <w:pStyle w:val="FirstParagraph"/>
        <w:widowControl/>
        <w:spacing w:line="259" w:lineRule="auto" w:after="90"/>
        <w:ind w:firstLine="360"/>
      </w:pPr>
      <w:r>
        <w:rPr>
          <w:rFonts w:ascii="Carlito" w:hAnsi="Carlito" w:eastAsia="Carlito"/>
        </w:rPr>
        <w:t xml:space="preserve">К индикаторам относятся:</w:t>
      </w:r>
    </w:p>
    <w:p>
      <w:pPr>
        <w:pStyle w:val="Compact"/>
        <w:widowControl/>
        <w:numPr>
          <w:ilvl w:val="0"/>
          <w:numId w:val="1010"/>
        </w:numPr>
        <w:spacing w:line="259" w:lineRule="auto" w:after="90"/>
      </w:pPr>
      <w:r>
        <w:rPr>
          <w:rFonts w:ascii="Carlito" w:hAnsi="Carlito" w:eastAsia="Carlito"/>
        </w:rPr>
        <w:t xml:space="preserve">устойчивая доля одного поставщика или консультанта без объективной необходимости;</w:t>
      </w:r>
    </w:p>
    <w:p>
      <w:pPr>
        <w:pStyle w:val="Compact"/>
        <w:widowControl/>
        <w:numPr>
          <w:ilvl w:val="0"/>
          <w:numId w:val="1010"/>
        </w:numPr>
        <w:spacing w:line="259" w:lineRule="auto" w:after="90"/>
      </w:pPr>
      <w:r>
        <w:rPr>
          <w:rFonts w:ascii="Carlito" w:hAnsi="Carlito" w:eastAsia="Carlito"/>
        </w:rPr>
        <w:t xml:space="preserve">рост постоянных расходов быстрее объёма участия и без улучшения качества;</w:t>
      </w:r>
    </w:p>
    <w:p>
      <w:pPr>
        <w:pStyle w:val="Compact"/>
        <w:widowControl/>
        <w:numPr>
          <w:ilvl w:val="0"/>
          <w:numId w:val="1010"/>
        </w:numPr>
        <w:spacing w:line="259" w:lineRule="auto" w:after="90"/>
      </w:pPr>
      <w:r>
        <w:rPr>
          <w:rFonts w:ascii="Carlito" w:hAnsi="Carlito" w:eastAsia="Carlito"/>
        </w:rPr>
        <w:t xml:space="preserve">частые изменения требований, выгодные действующему подрядчику;</w:t>
      </w:r>
    </w:p>
    <w:p>
      <w:pPr>
        <w:pStyle w:val="Compact"/>
        <w:widowControl/>
        <w:numPr>
          <w:ilvl w:val="0"/>
          <w:numId w:val="1010"/>
        </w:numPr>
        <w:spacing w:line="259" w:lineRule="auto" w:after="90"/>
      </w:pPr>
      <w:r>
        <w:rPr>
          <w:rFonts w:ascii="Carlito" w:hAnsi="Carlito" w:eastAsia="Carlito"/>
        </w:rPr>
        <w:t xml:space="preserve">зависимость критической функции от бесплатной услуги заинтересованного субъекта;</w:t>
      </w:r>
    </w:p>
    <w:p>
      <w:pPr>
        <w:pStyle w:val="Compact"/>
        <w:widowControl/>
        <w:numPr>
          <w:ilvl w:val="0"/>
          <w:numId w:val="1010"/>
        </w:numPr>
        <w:spacing w:line="259" w:lineRule="auto" w:after="90"/>
      </w:pPr>
      <w:r>
        <w:rPr>
          <w:rFonts w:ascii="Carlito" w:hAnsi="Carlito" w:eastAsia="Carlito"/>
        </w:rPr>
        <w:t xml:space="preserve">дробление закупок и пожертвований ниже порогов раскрытия;</w:t>
      </w:r>
    </w:p>
    <w:p>
      <w:pPr>
        <w:pStyle w:val="Compact"/>
        <w:widowControl/>
        <w:numPr>
          <w:ilvl w:val="0"/>
          <w:numId w:val="1010"/>
        </w:numPr>
        <w:spacing w:line="259" w:lineRule="auto" w:after="90"/>
      </w:pPr>
      <w:r>
        <w:rPr>
          <w:rFonts w:ascii="Carlito" w:hAnsi="Carlito" w:eastAsia="Carlito"/>
        </w:rPr>
        <w:t xml:space="preserve">совпадение экспертов, лоббистов, поставщиков и оценщиков;</w:t>
      </w:r>
    </w:p>
    <w:p>
      <w:pPr>
        <w:pStyle w:val="Compact"/>
        <w:widowControl/>
        <w:numPr>
          <w:ilvl w:val="0"/>
          <w:numId w:val="1010"/>
        </w:numPr>
        <w:spacing w:line="259" w:lineRule="auto" w:after="90"/>
      </w:pPr>
      <w:r>
        <w:rPr>
          <w:rFonts w:ascii="Carlito" w:hAnsi="Carlito" w:eastAsia="Carlito"/>
        </w:rPr>
        <w:t xml:space="preserve">бюджетное сокращение, избирательно затрагивающее офлайн-доступ, аудит или приватность;</w:t>
      </w:r>
    </w:p>
    <w:p>
      <w:pPr>
        <w:pStyle w:val="Compact"/>
        <w:widowControl/>
        <w:numPr>
          <w:ilvl w:val="0"/>
          <w:numId w:val="1010"/>
        </w:numPr>
        <w:spacing w:line="259" w:lineRule="auto" w:after="90"/>
      </w:pPr>
      <w:r>
        <w:rPr>
          <w:rFonts w:ascii="Carlito" w:hAnsi="Carlito" w:eastAsia="Carlito"/>
        </w:rPr>
        <w:t xml:space="preserve">продление временного органа главным образом для сохранения финансирования и контрактов.</w:t>
      </w:r>
    </w:p>
    <w:p>
      <w:pPr>
        <w:pStyle w:val="FirstParagraph"/>
        <w:widowControl/>
        <w:spacing w:line="259" w:lineRule="auto" w:after="90"/>
        <w:ind w:firstLine="360"/>
      </w:pPr>
      <w:r>
        <w:rPr>
          <w:rFonts w:ascii="Carlito" w:hAnsi="Carlito" w:eastAsia="Carlito"/>
        </w:rPr>
        <w:t xml:space="preserve">Наличие индикатора не доказывает нарушение автоматически, но требует мотивированной проверки.</w:t>
      </w:r>
    </w:p>
    <w:bookmarkEnd w:id="93"/>
    <w:bookmarkStart w:id="94" w:name="реагирование-на-финансовый-захват"/>
    <w:p>
      <w:pPr>
        <w:pStyle w:val="Heading2"/>
        <w:keepNext/>
        <w:keepLines/>
        <w:widowControl/>
        <w:spacing w:before="160" w:after="100"/>
      </w:pPr>
      <w:r>
        <w:rPr>
          <w:rFonts w:ascii="Carlito" w:hAnsi="Carlito" w:eastAsia="Carlito"/>
        </w:rPr>
        <w:t xml:space="preserve">18. Реагирование на финансовый захват</w:t>
      </w:r>
    </w:p>
    <w:p>
      <w:pPr>
        <w:pStyle w:val="FirstParagraph"/>
        <w:widowControl/>
        <w:spacing w:line="259" w:lineRule="auto" w:after="90"/>
        <w:ind w:firstLine="360"/>
      </w:pPr>
      <w:r>
        <w:rPr>
          <w:rFonts w:ascii="Carlito" w:hAnsi="Carlito" w:eastAsia="Carlito"/>
        </w:rPr>
        <w:t xml:space="preserve">При наличии индикаторов проводится независимая проверка, временно приостанавливаются новые обязательства, обеспечивается сохранность данных и непрерывность критических функций, раскрываются связи и при необходимости проводится повторная закупка. Мера не должна блокировать политическую позицию или отменять действия граждан без доказанной связи нарушения с результатом.</w:t>
      </w:r>
    </w:p>
    <w:bookmarkEnd w:id="94"/>
    <w:bookmarkStart w:id="95" w:name="ответственность-1"/>
    <w:p>
      <w:pPr>
        <w:pStyle w:val="Heading2"/>
        <w:keepNext/>
        <w:keepLines/>
        <w:widowControl/>
        <w:spacing w:before="160" w:after="100"/>
      </w:pPr>
      <w:r>
        <w:rPr>
          <w:rFonts w:ascii="Carlito" w:hAnsi="Carlito" w:eastAsia="Carlito"/>
        </w:rPr>
        <w:t xml:space="preserve">19. Ответственность</w:t>
      </w:r>
    </w:p>
    <w:p>
      <w:pPr>
        <w:pStyle w:val="FirstParagraph"/>
        <w:widowControl/>
        <w:spacing w:line="259" w:lineRule="auto" w:after="90"/>
        <w:ind w:firstLine="360"/>
      </w:pPr>
      <w:r>
        <w:rPr>
          <w:rFonts w:ascii="Carlito" w:hAnsi="Carlito" w:eastAsia="Carlito"/>
        </w:rPr>
        <w:t xml:space="preserve">Ответственность наступает за сокрытие бенефициара, дробление, сговор, предоставление ложных финансовых сведений, незаконное частное финансирование официальной функции, конфликт интересов при закупке, нарушение режима данных и расходование средств вне утверждённого периметра. Санкция соразмеряется с умыслом, масштабом, повторностью и влиянием на процедуру.</w:t>
      </w:r>
    </w:p>
    <w:p>
      <w:pPr>
        <w:pStyle w:val="BodyText"/>
        <w:widowControl/>
      </w:pPr>
      <w:r>
        <w:rPr>
          <w:rFonts w:ascii="Carlito" w:hAnsi="Carlito" w:eastAsia="Carlito"/>
        </w:rPr>
        <w:t xml:space="preserve">Добросовестная ошибка расчёта не приравнивается к фальсификации, если допущения и неопределённость были раскрыты и исправление произведено без промедления.</w:t>
      </w:r>
    </w:p>
    <w:bookmarkEnd w:id="95"/>
    <w:bookmarkStart w:id="96" w:name="X75414f5941f0d9b7491570e931ebb2be9436352"/>
    <w:p>
      <w:pPr>
        <w:pStyle w:val="Heading2"/>
        <w:keepNext/>
        <w:keepLines/>
        <w:widowControl/>
        <w:spacing w:before="160" w:after="100"/>
      </w:pPr>
      <w:r>
        <w:rPr>
          <w:rFonts w:ascii="Carlito" w:hAnsi="Carlito" w:eastAsia="Carlito"/>
        </w:rPr>
        <w:t xml:space="preserve">20. Финансовые критерии пилота и масштабирования</w:t>
      </w:r>
    </w:p>
    <w:p>
      <w:pPr>
        <w:pStyle w:val="FirstParagraph"/>
        <w:widowControl/>
        <w:spacing w:line="259" w:lineRule="auto" w:after="90"/>
        <w:ind w:firstLine="360"/>
      </w:pPr>
      <w:r>
        <w:rPr>
          <w:rFonts w:ascii="Carlito" w:hAnsi="Carlito" w:eastAsia="Carlito"/>
        </w:rPr>
        <w:t xml:space="preserve">До перехода на следующий уровень подтверждается, что стоимость на участника и на один завершённый пункт не превышает заранее установленный допустимый диапазон относительно альтернативы без доказанного дополнительного общественного эффекта. Отсутствие надёжных данных о полной цене является основанием не масштабировать.</w:t>
      </w:r>
    </w:p>
    <w:p>
      <w:pPr>
        <w:pStyle w:val="BodyText"/>
        <w:widowControl/>
      </w:pPr>
      <w:r>
        <w:rPr>
          <w:rFonts w:ascii="Carlito" w:hAnsi="Carlito" w:eastAsia="Carlito"/>
        </w:rPr>
        <w:t xml:space="preserve">Крупные капитальные расходы не оправдываются ссылкой на будущий масштаб без проверки спроса, совместимости и возможности поэтапной закупки.</w:t>
      </w:r>
    </w:p>
    <w:bookmarkEnd w:id="96"/>
    <w:bookmarkStart w:id="97" w:name="X2fe3f656456734a2c11553360ffbcf397786282"/>
    <w:p>
      <w:pPr>
        <w:pStyle w:val="Heading2"/>
        <w:keepNext/>
        <w:keepLines/>
        <w:widowControl/>
        <w:spacing w:before="160" w:after="100"/>
      </w:pPr>
      <w:r>
        <w:rPr>
          <w:rFonts w:ascii="Carlito" w:hAnsi="Carlito" w:eastAsia="Carlito"/>
        </w:rPr>
        <w:t xml:space="preserve">21. Наиболее сильные возражения и встроенные ответы</w:t>
      </w:r>
    </w:p>
    <w:p>
      <w:pPr>
        <w:pStyle w:val="FirstParagraph"/>
        <w:widowControl/>
        <w:spacing w:line="259" w:lineRule="auto" w:after="90"/>
        <w:ind w:firstLine="360"/>
      </w:pPr>
      <w:r>
        <w:rPr>
          <w:rFonts w:ascii="Carlito" w:hAnsi="Carlito" w:eastAsia="Carlito"/>
        </w:rPr>
        <w:t xml:space="preserve">Возражение о бюджетном удушении ограничено запретом проводить недофинансированный юридически значимый цикл и обязанностью публично раскрыть последствия сокращения. Возражение о финансовой автономии закрывается обычной бюджетной процедурой и потолками. Возражение о новой индустрии посредников — открытыми стандартами, разделением лотов, планом выхода и пересмотром после каждого цикла. Риск вытеснения базовых услуг контролируется сравнением альтернативной стоимости и правом прекратить неэффективный модуль.</w:t>
      </w:r>
    </w:p>
    <w:bookmarkEnd w:id="97"/>
    <w:bookmarkStart w:id="98" w:name="связь-с-другими-главами-и-вывод"/>
    <w:p>
      <w:pPr>
        <w:pStyle w:val="Heading2"/>
        <w:keepNext/>
        <w:keepLines/>
        <w:widowControl/>
        <w:spacing w:before="160" w:after="100"/>
      </w:pPr>
      <w:r>
        <w:rPr>
          <w:rFonts w:ascii="Carlito" w:hAnsi="Carlito" w:eastAsia="Carlito"/>
        </w:rPr>
        <w:t xml:space="preserve">22. Связь с другими главами и вывод</w:t>
      </w:r>
    </w:p>
    <w:p>
      <w:pPr>
        <w:pStyle w:val="FirstParagraph"/>
        <w:widowControl/>
        <w:spacing w:line="259" w:lineRule="auto" w:after="90"/>
        <w:ind w:firstLine="360"/>
      </w:pPr>
      <w:r>
        <w:rPr>
          <w:rFonts w:ascii="Carlito" w:hAnsi="Carlito" w:eastAsia="Carlito"/>
        </w:rPr>
        <w:t xml:space="preserve">Финансовые нормы применяются совместно с пилотированием, институциональной независимостью, доступностью, экспертизой, лоббизмом, кибербезопасностью и защитой данных. Финансирование не создаёт права управлять содержанием общественного поручения.</w:t>
      </w:r>
    </w:p>
    <w:p>
      <w:pPr>
        <w:pStyle w:val="BodyText"/>
        <w:widowControl/>
      </w:pPr>
      <w:r>
        <w:rPr>
          <w:rFonts w:ascii="Carlito" w:hAnsi="Carlito" w:eastAsia="Carlito"/>
        </w:rPr>
        <w:t xml:space="preserve">Устойчивой считается не самая дорогая и не самая защищённая от парламента система, а система, способная обеспечить обязательные гарантии по прозрачной цене и прекратить расходование, когда польза не подтверждена.</w:t>
      </w:r>
    </w:p>
    <w:bookmarkEnd w:id="98"/>
    <w:bookmarkEnd w:id="99"/>
    <w:bookmarkStart w:id="129" w:name="X79bc3c7cd0d945e5d68f7ccf0248a14819295e1"/>
    <w:p>
      <w:pPr>
        <w:pStyle w:val="Heading1"/>
        <w:keepNext/>
        <w:keepLines/>
        <w:pageBreakBefore/>
        <w:widowControl/>
        <w:spacing w:before="0" w:after="160"/>
        <w:pBdr>
          <w:bottom w:val="single" w:sz="5" w:space="4" w:color="B4C6E7"/>
        </w:pBdr>
      </w:pPr>
      <w:r>
        <w:rPr>
          <w:rFonts w:ascii="Carlito" w:hAnsi="Carlito" w:eastAsia="Carlito"/>
        </w:rPr>
        <w:t xml:space="preserve">Глава XXXIV. Конфликты интересов, лоббизм и защита от скрытого влияния</w:t>
      </w:r>
    </w:p>
    <w:p>
      <w:pPr>
        <w:pStyle w:val="BlockText"/>
        <w:widowControl/>
        <w:spacing w:line="259" w:lineRule="auto" w:after="90"/>
        <w:ind w:firstLine="360"/>
      </w:pPr>
      <w:r>
        <w:rPr>
          <w:rFonts w:ascii="Carlito" w:hAnsi="Carlito" w:eastAsia="Carlito"/>
          <w:b/>
          <w:bCs/>
        </w:rPr>
        <w:t xml:space="preserve">Прозрачность влияния не означает запрет интересов. Она означает, что профессиональная, крупная и организованная попытка сформировать общественный результат не выдаётся за спонтанный голос граждан, а обычный гражданин не обязан раскрывать государству всю свою политическую жизнь.</w:t>
      </w:r>
    </w:p>
    <w:bookmarkStart w:id="100" w:name="предмет-и-цель-главы-3"/>
    <w:p>
      <w:pPr>
        <w:pStyle w:val="Heading2"/>
        <w:keepNext/>
        <w:keepLines/>
        <w:widowControl/>
        <w:spacing w:before="160" w:after="100"/>
      </w:pPr>
      <w:r>
        <w:rPr>
          <w:rFonts w:ascii="Carlito" w:hAnsi="Carlito" w:eastAsia="Carlito"/>
        </w:rPr>
        <w:t xml:space="preserve">1. Предмет и цель главы</w:t>
      </w:r>
    </w:p>
    <w:p>
      <w:pPr>
        <w:pStyle w:val="FirstParagraph"/>
        <w:widowControl/>
        <w:spacing w:line="259" w:lineRule="auto" w:after="90"/>
        <w:ind w:firstLine="360"/>
      </w:pPr>
      <w:r>
        <w:rPr>
          <w:rFonts w:ascii="Carlito" w:hAnsi="Carlito" w:eastAsia="Carlito"/>
        </w:rPr>
        <w:t xml:space="preserve">Настоящая глава устанавливает правила выявления, раскрытия, ограничения и контроля конфликтов интересов, лоббизма, финансируемой политической коммуникации, астротурфинга, административного ресурса и иных форм скрытого влияния на полный цикл общественного поручения.</w:t>
      </w:r>
    </w:p>
    <w:p>
      <w:pPr>
        <w:pStyle w:val="BodyText"/>
        <w:widowControl/>
      </w:pPr>
      <w:r>
        <w:rPr>
          <w:rFonts w:ascii="Carlito" w:hAnsi="Carlito" w:eastAsia="Carlito"/>
        </w:rPr>
        <w:t xml:space="preserve">Цель — сделать существенное влияние наблюдаемым и оспоримым, не вводя лицензирование политической позиции, государственный реестр рядовых сторонников или монополию официального посредника на представительство группы.</w:t>
      </w:r>
    </w:p>
    <w:bookmarkEnd w:id="100"/>
    <w:bookmarkStart w:id="101" w:name="основные-определения-1"/>
    <w:p>
      <w:pPr>
        <w:pStyle w:val="Heading2"/>
        <w:keepNext/>
        <w:keepLines/>
        <w:widowControl/>
        <w:spacing w:before="160" w:after="100"/>
      </w:pPr>
      <w:r>
        <w:rPr>
          <w:rFonts w:ascii="Carlito" w:hAnsi="Carlito" w:eastAsia="Carlito"/>
        </w:rPr>
        <w:t xml:space="preserve">2. Основные определения</w:t>
      </w:r>
    </w:p>
    <w:tbl>
      <w:tblPr>
        <w:tblStyle w:val="TableGrid"/>
        <w:tblW w:type="pct" w:w="5000"/>
        <w:jc w:val="center"/>
        <w:tblLayout w:type="fixed"/>
        <w:tblLook w:firstRow="1" w:lastRow="0" w:firstColumn="0" w:lastColumn="0" w:noHBand="0" w:noVBand="0" w:val="0020"/>
      </w:tblPr>
      <w:tblGrid>
        <w:gridCol w:w="3960"/>
        <w:gridCol w:w="3960"/>
      </w:tblGrid>
      <w:tr>
        <w:trPr>
          <w:tblHeader w:val="true"/>
          <w:tblHeader w:val="true"/>
          <w:cantSplit/>
          <w:tblHeader w:val="true"/>
        </w:trPr>
        <w:tc>
          <w:tcPr>
            <w:tcMar>
              <w:top w:w="65" w:type="dxa"/>
              <w:start w:w="65" w:type="dxa"/>
              <w:bottom w:w="65" w:type="dxa"/>
              <w:end w:w="65" w:type="dxa"/>
            </w:tcMar>
            <w:vAlign w:val="center"/>
            <w:shd w:fill="17365D"/>
            <w:tcW w:type="dxa" w:w="2232"/>
          </w:tcPr>
          <w:p>
            <w:pPr>
              <w:spacing w:after="40" w:line="240" w:lineRule="auto" w:before="0"/>
              <w:jc w:val="center"/>
            </w:pPr>
            <w:r>
              <w:rPr>
                <w:rFonts w:ascii="Carlito" w:hAnsi="Carlito" w:eastAsia="Carlito"/>
                <w:b/>
                <w:color w:val="FFFFFF"/>
                <w:sz w:val="16"/>
              </w:rPr>
              <w:t xml:space="preserve">Понятие</w:t>
            </w:r>
          </w:p>
        </w:tc>
        <w:tc>
          <w:tcPr>
            <w:tcMar>
              <w:top w:w="65" w:type="dxa"/>
              <w:start w:w="65" w:type="dxa"/>
              <w:bottom w:w="65" w:type="dxa"/>
              <w:end w:w="65" w:type="dxa"/>
            </w:tcMar>
            <w:vAlign w:val="center"/>
            <w:shd w:fill="17365D"/>
            <w:tcW w:type="dxa" w:w="7776"/>
          </w:tcPr>
          <w:p>
            <w:pPr>
              <w:spacing w:after="40" w:line="240" w:lineRule="auto" w:before="0"/>
              <w:jc w:val="center"/>
            </w:pPr>
            <w:r>
              <w:rPr>
                <w:rFonts w:ascii="Carlito" w:hAnsi="Carlito" w:eastAsia="Carlito"/>
                <w:b/>
                <w:color w:val="FFFFFF"/>
                <w:sz w:val="16"/>
              </w:rPr>
              <w:t xml:space="preserve">Определение</w:t>
            </w:r>
          </w:p>
        </w:tc>
      </w:tr>
      <w:tr>
        <w:trPr>
          <w:cantSplit/>
        </w:trPr>
        <w:tc>
          <w:tcPr>
            <w:tcMar>
              <w:top w:w="65" w:type="dxa"/>
              <w:start w:w="65" w:type="dxa"/>
              <w:bottom w:w="65" w:type="dxa"/>
              <w:end w:w="65" w:type="dxa"/>
            </w:tcMar>
            <w:vAlign w:val="center"/>
            <w:tcW w:type="dxa" w:w="2232"/>
          </w:tcPr>
          <w:p>
            <w:pPr>
              <w:spacing w:after="40" w:line="240" w:lineRule="auto" w:before="0"/>
              <w:jc w:val="left"/>
            </w:pPr>
            <w:r>
              <w:rPr>
                <w:rFonts w:ascii="Carlito" w:hAnsi="Carlito" w:eastAsia="Carlito"/>
                <w:b w:val="0"/>
                <w:color w:val="000000"/>
                <w:sz w:val="16"/>
              </w:rPr>
              <w:t xml:space="preserve">Лоббизм</w:t>
            </w:r>
          </w:p>
        </w:tc>
        <w:tc>
          <w:tcPr>
            <w:tcMar>
              <w:top w:w="65" w:type="dxa"/>
              <w:start w:w="65" w:type="dxa"/>
              <w:bottom w:w="65" w:type="dxa"/>
              <w:end w:w="65" w:type="dxa"/>
            </w:tcMar>
            <w:vAlign w:val="center"/>
            <w:tcW w:type="dxa" w:w="7776"/>
          </w:tcPr>
          <w:p>
            <w:pPr>
              <w:spacing w:after="40" w:line="240" w:lineRule="auto" w:before="0"/>
              <w:jc w:val="left"/>
            </w:pPr>
            <w:r>
              <w:rPr>
                <w:rFonts w:ascii="Carlito" w:hAnsi="Carlito" w:eastAsia="Carlito"/>
                <w:b w:val="0"/>
                <w:color w:val="000000"/>
                <w:sz w:val="16"/>
              </w:rPr>
              <w:t xml:space="preserve">Профессиональная или организованная коммуникация, направленная на поведение публичного органа или официального участника процесса в интересах определённого клиента, организации или бенефициара.</w:t>
            </w:r>
          </w:p>
        </w:tc>
      </w:tr>
      <w:tr>
        <w:trPr>
          <w:cantSplit/>
        </w:trPr>
        <w:tc>
          <w:tcPr>
            <w:tcMar>
              <w:top w:w="65" w:type="dxa"/>
              <w:start w:w="65" w:type="dxa"/>
              <w:bottom w:w="65" w:type="dxa"/>
              <w:end w:w="65" w:type="dxa"/>
            </w:tcMar>
            <w:vAlign w:val="center"/>
            <w:shd w:fill="EEF3F8"/>
            <w:tcW w:type="dxa" w:w="2232"/>
          </w:tcPr>
          <w:p>
            <w:pPr>
              <w:spacing w:after="40" w:line="240" w:lineRule="auto" w:before="0"/>
              <w:jc w:val="left"/>
            </w:pPr>
            <w:r>
              <w:rPr>
                <w:rFonts w:ascii="Carlito" w:hAnsi="Carlito" w:eastAsia="Carlito"/>
                <w:b w:val="0"/>
                <w:color w:val="000000"/>
                <w:sz w:val="16"/>
              </w:rPr>
              <w:t xml:space="preserve">Адвокация</w:t>
            </w:r>
          </w:p>
        </w:tc>
        <w:tc>
          <w:tcPr>
            <w:tcMar>
              <w:top w:w="65" w:type="dxa"/>
              <w:start w:w="65" w:type="dxa"/>
              <w:bottom w:w="65" w:type="dxa"/>
              <w:end w:w="65" w:type="dxa"/>
            </w:tcMar>
            <w:vAlign w:val="center"/>
            <w:shd w:fill="EEF3F8"/>
            <w:tcW w:type="dxa" w:w="7776"/>
          </w:tcPr>
          <w:p>
            <w:pPr>
              <w:spacing w:after="40" w:line="240" w:lineRule="auto" w:before="0"/>
              <w:jc w:val="left"/>
            </w:pPr>
            <w:r>
              <w:rPr>
                <w:rFonts w:ascii="Carlito" w:hAnsi="Carlito" w:eastAsia="Carlito"/>
                <w:b w:val="0"/>
                <w:color w:val="000000"/>
                <w:sz w:val="16"/>
              </w:rPr>
              <w:t xml:space="preserve">Публичное продвижение общественной, правозащитной, профессиональной или иной позиции; может осуществляться без клиента и сама по себе не является нарушением.</w:t>
            </w:r>
          </w:p>
        </w:tc>
      </w:tr>
      <w:tr>
        <w:trPr>
          <w:cantSplit/>
        </w:trPr>
        <w:tc>
          <w:tcPr>
            <w:tcMar>
              <w:top w:w="65" w:type="dxa"/>
              <w:start w:w="65" w:type="dxa"/>
              <w:bottom w:w="65" w:type="dxa"/>
              <w:end w:w="65" w:type="dxa"/>
            </w:tcMar>
            <w:vAlign w:val="center"/>
            <w:tcW w:type="dxa" w:w="2232"/>
          </w:tcPr>
          <w:p>
            <w:pPr>
              <w:spacing w:after="40" w:line="240" w:lineRule="auto" w:before="0"/>
              <w:jc w:val="left"/>
            </w:pPr>
            <w:r>
              <w:rPr>
                <w:rFonts w:ascii="Carlito" w:hAnsi="Carlito" w:eastAsia="Carlito"/>
                <w:b w:val="0"/>
                <w:color w:val="000000"/>
                <w:sz w:val="16"/>
              </w:rPr>
              <w:t xml:space="preserve">Конфликт интересов</w:t>
            </w:r>
          </w:p>
        </w:tc>
        <w:tc>
          <w:tcPr>
            <w:tcMar>
              <w:top w:w="65" w:type="dxa"/>
              <w:start w:w="65" w:type="dxa"/>
              <w:bottom w:w="65" w:type="dxa"/>
              <w:end w:w="65" w:type="dxa"/>
            </w:tcMar>
            <w:vAlign w:val="center"/>
            <w:tcW w:type="dxa" w:w="7776"/>
          </w:tcPr>
          <w:p>
            <w:pPr>
              <w:spacing w:after="40" w:line="240" w:lineRule="auto" w:before="0"/>
              <w:jc w:val="left"/>
            </w:pPr>
            <w:r>
              <w:rPr>
                <w:rFonts w:ascii="Carlito" w:hAnsi="Carlito" w:eastAsia="Carlito"/>
                <w:b w:val="0"/>
                <w:color w:val="000000"/>
                <w:sz w:val="16"/>
              </w:rPr>
              <w:t xml:space="preserve">Ситуация, в которой личный, финансовый, профессиональный, семейный или организационный интерес способен повлиять либо разумно восприниматься как влияющий на официальное решение.</w:t>
            </w:r>
          </w:p>
        </w:tc>
      </w:tr>
      <w:tr>
        <w:trPr>
          <w:cantSplit/>
        </w:trPr>
        <w:tc>
          <w:tcPr>
            <w:tcMar>
              <w:top w:w="65" w:type="dxa"/>
              <w:start w:w="65" w:type="dxa"/>
              <w:bottom w:w="65" w:type="dxa"/>
              <w:end w:w="65" w:type="dxa"/>
            </w:tcMar>
            <w:vAlign w:val="center"/>
            <w:shd w:fill="EEF3F8"/>
            <w:tcW w:type="dxa" w:w="2232"/>
          </w:tcPr>
          <w:p>
            <w:pPr>
              <w:spacing w:after="40" w:line="240" w:lineRule="auto" w:before="0"/>
              <w:jc w:val="left"/>
            </w:pPr>
            <w:r>
              <w:rPr>
                <w:rFonts w:ascii="Carlito" w:hAnsi="Carlito" w:eastAsia="Carlito"/>
                <w:b w:val="0"/>
                <w:color w:val="000000"/>
                <w:sz w:val="16"/>
              </w:rPr>
              <w:t xml:space="preserve">Астротурфинг</w:t>
            </w:r>
          </w:p>
        </w:tc>
        <w:tc>
          <w:tcPr>
            <w:tcMar>
              <w:top w:w="65" w:type="dxa"/>
              <w:start w:w="65" w:type="dxa"/>
              <w:bottom w:w="65" w:type="dxa"/>
              <w:end w:w="65" w:type="dxa"/>
            </w:tcMar>
            <w:vAlign w:val="center"/>
            <w:shd w:fill="EEF3F8"/>
            <w:tcW w:type="dxa" w:w="7776"/>
          </w:tcPr>
          <w:p>
            <w:pPr>
              <w:spacing w:after="40" w:line="240" w:lineRule="auto" w:before="0"/>
              <w:jc w:val="left"/>
            </w:pPr>
            <w:r>
              <w:rPr>
                <w:rFonts w:ascii="Carlito" w:hAnsi="Carlito" w:eastAsia="Carlito"/>
                <w:b w:val="0"/>
                <w:color w:val="000000"/>
                <w:sz w:val="16"/>
              </w:rPr>
              <w:t xml:space="preserve">Организованное создание видимости независимого массового гражданского движения при скрытом заказчике, финансировании или координации.</w:t>
            </w:r>
          </w:p>
        </w:tc>
      </w:tr>
      <w:tr>
        <w:trPr>
          <w:cantSplit/>
        </w:trPr>
        <w:tc>
          <w:tcPr>
            <w:tcMar>
              <w:top w:w="65" w:type="dxa"/>
              <w:start w:w="65" w:type="dxa"/>
              <w:bottom w:w="65" w:type="dxa"/>
              <w:end w:w="65" w:type="dxa"/>
            </w:tcMar>
            <w:vAlign w:val="center"/>
            <w:tcW w:type="dxa" w:w="2232"/>
          </w:tcPr>
          <w:p>
            <w:pPr>
              <w:spacing w:after="40" w:line="240" w:lineRule="auto" w:before="0"/>
              <w:jc w:val="left"/>
            </w:pPr>
            <w:r>
              <w:rPr>
                <w:rFonts w:ascii="Carlito" w:hAnsi="Carlito" w:eastAsia="Carlito"/>
                <w:b w:val="0"/>
                <w:color w:val="000000"/>
                <w:sz w:val="16"/>
              </w:rPr>
              <w:t xml:space="preserve">Существенное влияние</w:t>
            </w:r>
          </w:p>
        </w:tc>
        <w:tc>
          <w:tcPr>
            <w:tcMar>
              <w:top w:w="65" w:type="dxa"/>
              <w:start w:w="65" w:type="dxa"/>
              <w:bottom w:w="65" w:type="dxa"/>
              <w:end w:w="65" w:type="dxa"/>
            </w:tcMar>
            <w:vAlign w:val="center"/>
            <w:tcW w:type="dxa" w:w="7776"/>
          </w:tcPr>
          <w:p>
            <w:pPr>
              <w:spacing w:after="40" w:line="240" w:lineRule="auto" w:before="0"/>
              <w:jc w:val="left"/>
            </w:pPr>
            <w:r>
              <w:rPr>
                <w:rFonts w:ascii="Carlito" w:hAnsi="Carlito" w:eastAsia="Carlito"/>
                <w:b w:val="0"/>
                <w:color w:val="000000"/>
                <w:sz w:val="16"/>
              </w:rPr>
              <w:t xml:space="preserve">Воздействие, превышающее установленные пороги расходов, профессиональной координации, охвата, доступа к данным либо участия в официальном решении.</w:t>
            </w:r>
          </w:p>
        </w:tc>
      </w:tr>
      <w:tr>
        <w:trPr>
          <w:cantSplit/>
        </w:trPr>
        <w:tc>
          <w:tcPr>
            <w:tcMar>
              <w:top w:w="65" w:type="dxa"/>
              <w:start w:w="65" w:type="dxa"/>
              <w:bottom w:w="65" w:type="dxa"/>
              <w:end w:w="65" w:type="dxa"/>
            </w:tcMar>
            <w:vAlign w:val="center"/>
            <w:shd w:fill="EEF3F8"/>
            <w:tcW w:type="dxa" w:w="2232"/>
          </w:tcPr>
          <w:p>
            <w:pPr>
              <w:spacing w:after="40" w:line="240" w:lineRule="auto" w:before="0"/>
              <w:jc w:val="left"/>
            </w:pPr>
            <w:r>
              <w:rPr>
                <w:rFonts w:ascii="Carlito" w:hAnsi="Carlito" w:eastAsia="Carlito"/>
                <w:b w:val="0"/>
                <w:color w:val="000000"/>
                <w:sz w:val="16"/>
              </w:rPr>
              <w:t xml:space="preserve">Связанное лицо</w:t>
            </w:r>
          </w:p>
        </w:tc>
        <w:tc>
          <w:tcPr>
            <w:tcMar>
              <w:top w:w="65" w:type="dxa"/>
              <w:start w:w="65" w:type="dxa"/>
              <w:bottom w:w="65" w:type="dxa"/>
              <w:end w:w="65" w:type="dxa"/>
            </w:tcMar>
            <w:vAlign w:val="center"/>
            <w:shd w:fill="EEF3F8"/>
            <w:tcW w:type="dxa" w:w="7776"/>
          </w:tcPr>
          <w:p>
            <w:pPr>
              <w:spacing w:after="40" w:line="240" w:lineRule="auto" w:before="0"/>
              <w:jc w:val="left"/>
            </w:pPr>
            <w:r>
              <w:rPr>
                <w:rFonts w:ascii="Carlito" w:hAnsi="Carlito" w:eastAsia="Carlito"/>
                <w:b w:val="0"/>
                <w:color w:val="000000"/>
                <w:sz w:val="16"/>
              </w:rPr>
              <w:t xml:space="preserve">Лицо или организация, объединённые контролем, бенефициаром, договором, семейной связью или согласованным действием, значимым для применения правил раскрытия.</w:t>
            </w:r>
          </w:p>
        </w:tc>
      </w:tr>
    </w:tbl>
    <w:bookmarkEnd w:id="101"/>
    <w:bookmarkStart w:id="102" w:name="законность-представительства-интересов"/>
    <w:p>
      <w:pPr>
        <w:pStyle w:val="Heading2"/>
        <w:keepNext/>
        <w:keepLines/>
        <w:widowControl/>
        <w:spacing w:before="160" w:after="100"/>
      </w:pPr>
      <w:r>
        <w:rPr>
          <w:rFonts w:ascii="Carlito" w:hAnsi="Carlito" w:eastAsia="Carlito"/>
        </w:rPr>
        <w:t xml:space="preserve">3. Законность представительства интересов</w:t>
      </w:r>
    </w:p>
    <w:p>
      <w:pPr>
        <w:pStyle w:val="FirstParagraph"/>
        <w:widowControl/>
        <w:spacing w:line="259" w:lineRule="auto" w:after="90"/>
        <w:ind w:firstLine="360"/>
      </w:pPr>
      <w:r>
        <w:rPr>
          <w:rFonts w:ascii="Carlito" w:hAnsi="Carlito" w:eastAsia="Carlito"/>
        </w:rPr>
        <w:t xml:space="preserve">Лоббизм, адвокация, объединение граждан, финансирование публичной кампании и профессиональная помощь законны, если соблюдены требования происхождения, раскрытия и недопустимости подкупа, принуждения, мошенничества и незаконного использования данных. Наличие организованного интереса не является основанием отклонить инициативу или считать её менее достойной.</w:t>
      </w:r>
    </w:p>
    <w:p>
      <w:pPr>
        <w:pStyle w:val="BodyText"/>
        <w:widowControl/>
      </w:pPr>
      <w:r>
        <w:rPr>
          <w:rFonts w:ascii="Carlito" w:hAnsi="Carlito" w:eastAsia="Carlito"/>
        </w:rPr>
        <w:t xml:space="preserve">Правила применяются к способу влияния, его материальности и конфликту с публичной функцией, а не к популярности, идеологии или неудобству позиции.</w:t>
      </w:r>
    </w:p>
    <w:bookmarkEnd w:id="102"/>
    <w:bookmarkStart w:id="103" w:name="защита-обычного-гражданского-участия"/>
    <w:p>
      <w:pPr>
        <w:pStyle w:val="Heading2"/>
        <w:keepNext/>
        <w:keepLines/>
        <w:widowControl/>
        <w:spacing w:before="160" w:after="100"/>
      </w:pPr>
      <w:r>
        <w:rPr>
          <w:rFonts w:ascii="Carlito" w:hAnsi="Carlito" w:eastAsia="Carlito"/>
        </w:rPr>
        <w:t xml:space="preserve">4. Защита обычного гражданского участия</w:t>
      </w:r>
    </w:p>
    <w:p>
      <w:pPr>
        <w:pStyle w:val="FirstParagraph"/>
        <w:widowControl/>
        <w:spacing w:line="259" w:lineRule="auto" w:after="90"/>
        <w:ind w:firstLine="360"/>
      </w:pPr>
      <w:r>
        <w:rPr>
          <w:rFonts w:ascii="Carlito" w:hAnsi="Carlito" w:eastAsia="Carlito"/>
        </w:rPr>
        <w:t xml:space="preserve">Рядовой гражданин, небольшая добровольная группа, бесплатный волонтёр и малый донор не обязаны регистрироваться как лоббисты или публично раскрывать политическое предпочтение только из-за поддержки инициативы, участия в обсуждении или обращения к представителю власти.</w:t>
      </w:r>
    </w:p>
    <w:p>
      <w:pPr>
        <w:pStyle w:val="BodyText"/>
        <w:widowControl/>
      </w:pPr>
      <w:r>
        <w:rPr>
          <w:rFonts w:ascii="Carlito" w:hAnsi="Carlito" w:eastAsia="Carlito"/>
        </w:rPr>
        <w:t xml:space="preserve">Пороговые исключения не применяются при искусственном дроблении деятельности связанного профессионального субъекта. Бремя доказательства связи лежит на контролирующем органе; презумпция не должна превращать обычное гражданское взаимодействие в подозрительную деятельность.</w:t>
      </w:r>
    </w:p>
    <w:bookmarkEnd w:id="103"/>
    <w:bookmarkStart w:id="104" w:name="пороги-существенности-и-антидробление"/>
    <w:p>
      <w:pPr>
        <w:pStyle w:val="Heading2"/>
        <w:keepNext/>
        <w:keepLines/>
        <w:widowControl/>
        <w:spacing w:before="160" w:after="100"/>
      </w:pPr>
      <w:r>
        <w:rPr>
          <w:rFonts w:ascii="Carlito" w:hAnsi="Carlito" w:eastAsia="Carlito"/>
        </w:rPr>
        <w:t xml:space="preserve">5. Пороги существенности и антидробление</w:t>
      </w:r>
    </w:p>
    <w:p>
      <w:pPr>
        <w:pStyle w:val="FirstParagraph"/>
        <w:widowControl/>
        <w:spacing w:line="259" w:lineRule="auto" w:after="90"/>
        <w:ind w:firstLine="360"/>
      </w:pPr>
      <w:r>
        <w:rPr>
          <w:rFonts w:ascii="Carlito" w:hAnsi="Carlito" w:eastAsia="Carlito"/>
        </w:rPr>
        <w:t xml:space="preserve">Национальный закон устанавливает понятные денежные, организационные и функциональные пороги. Учитываются совокупные расходы связанных лиц, неденежная поддержка, оплачиваемый персонал, приобретённые данные, реклама, юридическая и экспертная помощь. Несколько операций оцениваются совместно, если имеют единого бенефициара и согласованную цель.</w:t>
      </w:r>
    </w:p>
    <w:p>
      <w:pPr>
        <w:pStyle w:val="BodyText"/>
        <w:widowControl/>
      </w:pPr>
      <w:r>
        <w:rPr>
          <w:rFonts w:ascii="Carlito" w:hAnsi="Carlito" w:eastAsia="Carlito"/>
        </w:rPr>
        <w:t xml:space="preserve">Антидробительная презумпция должна быть опровержимой и основываться на конкретных признаках координации. Она не может автоматически объединять независимые организации только из-за сходства взглядов.</w:t>
      </w:r>
    </w:p>
    <w:bookmarkEnd w:id="104"/>
    <w:bookmarkStart w:id="105" w:name="паспорт-происхождения-кампании"/>
    <w:p>
      <w:pPr>
        <w:widowControl/>
      </w:pPr>
      <w:r>
        <w:t>Антидробительные презумпции направлены на профессионально связанных плательщиков и конечного бенефициара. Независимые малые доноры презюмируются несвязанными, хранятся отдельно и не объединяются в публичное политическое досье без доказательств координации.</w:t>
      </w:r>
    </w:p>
    <w:p>
      <w:pPr>
        <w:pStyle w:val="Heading2"/>
        <w:keepNext/>
        <w:keepLines/>
        <w:widowControl/>
        <w:spacing w:before="160" w:after="100"/>
      </w:pPr>
      <w:r>
        <w:rPr>
          <w:rFonts w:ascii="Carlito" w:hAnsi="Carlito" w:eastAsia="Carlito"/>
        </w:rPr>
        <w:t xml:space="preserve">6. Паспорт происхождения кампании</w:t>
      </w:r>
    </w:p>
    <w:p>
      <w:pPr>
        <w:pStyle w:val="FirstParagraph"/>
        <w:widowControl/>
        <w:spacing w:line="259" w:lineRule="auto" w:after="90"/>
        <w:ind w:firstLine="360"/>
      </w:pPr>
      <w:r>
        <w:rPr>
          <w:rFonts w:ascii="Carlito" w:hAnsi="Carlito" w:eastAsia="Carlito"/>
        </w:rPr>
        <w:t xml:space="preserve">Инициатива, достигшая стадии официальной обработки, сопровождается публичным паспортом происхождения в объёме, соразмерном масштабу кампании. В нём указываются известные инициаторы, профессиональные координаторы, конечные бенефициары существенного финансирования, оплаченная реклама, предоставленные данные, модели и неденежные услуги.</w:t>
      </w:r>
    </w:p>
    <w:p>
      <w:pPr>
        <w:pStyle w:val="BodyText"/>
        <w:widowControl/>
      </w:pPr>
      <w:r>
        <w:rPr>
          <w:rFonts w:ascii="Carlito" w:hAnsi="Carlito" w:eastAsia="Carlito"/>
        </w:rPr>
        <w:t xml:space="preserve">Исходный текст инициативы и гражданская поддержка сохраняются независимо от паспорта. Неполнота паспорта ведёт к требованию исправления и расследованию, но не автоматически лишает граждан права подтвердить позицию после раскрытия.</w:t>
      </w:r>
    </w:p>
    <w:bookmarkEnd w:id="105"/>
    <w:bookmarkStart w:id="106" w:name="X6b0f25e68494714f070c94b20b2cbd82d1e77c7"/>
    <w:p>
      <w:pPr>
        <w:pStyle w:val="Heading2"/>
        <w:keepNext/>
        <w:keepLines/>
        <w:widowControl/>
        <w:spacing w:before="160" w:after="100"/>
      </w:pPr>
      <w:r>
        <w:rPr>
          <w:rFonts w:ascii="Carlito" w:hAnsi="Carlito" w:eastAsia="Carlito"/>
        </w:rPr>
        <w:t xml:space="preserve">7. Запрет скрытого государственного происхождения</w:t>
      </w:r>
    </w:p>
    <w:p>
      <w:pPr>
        <w:pStyle w:val="FirstParagraph"/>
        <w:widowControl/>
        <w:spacing w:line="259" w:lineRule="auto" w:after="90"/>
        <w:ind w:firstLine="360"/>
      </w:pPr>
      <w:r>
        <w:rPr>
          <w:rFonts w:ascii="Carlito" w:hAnsi="Carlito" w:eastAsia="Carlito"/>
        </w:rPr>
        <w:t xml:space="preserve">Государственный орган, должностное лицо, государственная компания или зависимый подрядчик не вправе создавать, финансировать или координировать инициативу под видом независимой гражданской. Официальное предложение государства допускается только в ясно маркированном отдельном канале без доступа к преимуществам низового происхождения.</w:t>
      </w:r>
    </w:p>
    <w:p>
      <w:pPr>
        <w:pStyle w:val="BodyText"/>
        <w:widowControl/>
      </w:pPr>
      <w:r>
        <w:rPr>
          <w:rFonts w:ascii="Carlito" w:hAnsi="Carlito" w:eastAsia="Carlito"/>
        </w:rPr>
        <w:t xml:space="preserve">Использование служебных баз, подчинённых работников, бюджетной рекламы или административного давления для сбора поддержки запрещено независимо от популярности содержания.</w:t>
      </w:r>
    </w:p>
    <w:bookmarkEnd w:id="106"/>
    <w:bookmarkStart w:id="107" w:name="политические-партии-и-кандидаты"/>
    <w:p>
      <w:pPr>
        <w:pStyle w:val="Heading2"/>
        <w:keepNext/>
        <w:keepLines/>
        <w:widowControl/>
        <w:spacing w:before="160" w:after="100"/>
      </w:pPr>
      <w:r>
        <w:rPr>
          <w:rFonts w:ascii="Carlito" w:hAnsi="Carlito" w:eastAsia="Carlito"/>
        </w:rPr>
        <w:t xml:space="preserve">8. Политические партии и кандидаты</w:t>
      </w:r>
    </w:p>
    <w:p>
      <w:pPr>
        <w:pStyle w:val="FirstParagraph"/>
        <w:widowControl/>
        <w:spacing w:line="259" w:lineRule="auto" w:after="90"/>
        <w:ind w:firstLine="360"/>
      </w:pPr>
      <w:r>
        <w:rPr>
          <w:rFonts w:ascii="Carlito" w:hAnsi="Carlito" w:eastAsia="Carlito"/>
        </w:rPr>
        <w:t xml:space="preserve">Партии и кандидаты вправе поддерживать, критиковать и предлагать инициативы, но их участие и расходы раскрываются. Они не получают приоритетного редакционного доступа, скрытого права формировать итоговый перечень или возможности использовать государственное финансирование кампании вне общих правил.</w:t>
      </w:r>
    </w:p>
    <w:p>
      <w:pPr>
        <w:pStyle w:val="BodyText"/>
        <w:widowControl/>
      </w:pPr>
      <w:r>
        <w:rPr>
          <w:rFonts w:ascii="Carlito" w:hAnsi="Carlito" w:eastAsia="Carlito"/>
        </w:rPr>
        <w:t xml:space="preserve">Участие партии не лишает инициативу права на рассмотрение, но не может быть скрыто под видом независимого гражданского происхождения.</w:t>
      </w:r>
    </w:p>
    <w:bookmarkEnd w:id="107"/>
    <w:bookmarkStart w:id="108" w:name="X67b2f5344c107ad8937eb4933fd7996bc381cc5"/>
    <w:p>
      <w:pPr>
        <w:pStyle w:val="Heading2"/>
        <w:keepNext/>
        <w:keepLines/>
        <w:widowControl/>
        <w:spacing w:before="160" w:after="100"/>
      </w:pPr>
      <w:r>
        <w:rPr>
          <w:rFonts w:ascii="Carlito" w:hAnsi="Carlito" w:eastAsia="Carlito"/>
        </w:rPr>
        <w:t xml:space="preserve">9. Бизнес, профсоюзы, НКО и профессиональные объединения</w:t>
      </w:r>
    </w:p>
    <w:p>
      <w:pPr>
        <w:pStyle w:val="FirstParagraph"/>
        <w:widowControl/>
        <w:spacing w:line="259" w:lineRule="auto" w:after="90"/>
        <w:ind w:firstLine="360"/>
      </w:pPr>
      <w:r>
        <w:rPr>
          <w:rFonts w:ascii="Carlito" w:hAnsi="Carlito" w:eastAsia="Carlito"/>
        </w:rPr>
        <w:t xml:space="preserve">Организации вправе защищать интересы членов и общества. Раскрываются конечный бенефициар существенных расходов, клиент профессиональной кампании, источник заказанного исследования и материальная поддержка. Раскрытие не должно требовать публикации списка всех членов, благополучателей или рядовых сотрудников.</w:t>
      </w:r>
    </w:p>
    <w:p>
      <w:pPr>
        <w:pStyle w:val="BodyText"/>
        <w:widowControl/>
      </w:pPr>
      <w:r>
        <w:rPr>
          <w:rFonts w:ascii="Carlito" w:hAnsi="Carlito" w:eastAsia="Carlito"/>
        </w:rPr>
        <w:t xml:space="preserve">Для организаций, представляющих уязвимых лиц, применяется повышенная защита личности членов и получателей помощи. Публичность организации не должна раскрывать их политические взгляды или состояние.</w:t>
      </w:r>
    </w:p>
    <w:bookmarkEnd w:id="108"/>
    <w:bookmarkStart w:id="109" w:name="Xf9da4acc84cba5f554a2dbf2affc65b754d7c8b"/>
    <w:p>
      <w:pPr>
        <w:pStyle w:val="Heading2"/>
        <w:keepNext/>
        <w:keepLines/>
        <w:widowControl/>
        <w:spacing w:before="160" w:after="100"/>
      </w:pPr>
      <w:r>
        <w:rPr>
          <w:rFonts w:ascii="Carlito" w:hAnsi="Carlito" w:eastAsia="Carlito"/>
        </w:rPr>
        <w:t xml:space="preserve">10. Иностранный принципал и трансграничное влияние</w:t>
      </w:r>
    </w:p>
    <w:p>
      <w:pPr>
        <w:pStyle w:val="FirstParagraph"/>
        <w:widowControl/>
        <w:spacing w:line="259" w:lineRule="auto" w:after="90"/>
        <w:ind w:firstLine="360"/>
      </w:pPr>
      <w:r>
        <w:rPr>
          <w:rFonts w:ascii="Carlito" w:hAnsi="Carlito" w:eastAsia="Carlito"/>
        </w:rPr>
        <w:t xml:space="preserve">Связь с иностранным субъектом раскрывается, когда деятельность осуществляется по его заказу, под его контролем или за существенное финансирование. Простое иностранное происхождение идеи, международное партнёрство, грант общего назначения или профессиональный контакт не создают автоматической презумпции враждебности.</w:t>
      </w:r>
    </w:p>
    <w:p>
      <w:pPr>
        <w:pStyle w:val="BodyText"/>
        <w:widowControl/>
      </w:pPr>
      <w:r>
        <w:rPr>
          <w:rFonts w:ascii="Carlito" w:hAnsi="Carlito" w:eastAsia="Carlito"/>
        </w:rPr>
        <w:t xml:space="preserve">Ограничения основываются на доказанном контроле, функции и риске, подлежат судебной защите и не используются как содержательная цензура.</w:t>
      </w:r>
    </w:p>
    <w:bookmarkEnd w:id="109"/>
    <w:bookmarkStart w:id="110" w:name="реестр-существенных-контактов"/>
    <w:p>
      <w:pPr>
        <w:pStyle w:val="Heading2"/>
        <w:keepNext/>
        <w:keepLines/>
        <w:widowControl/>
        <w:spacing w:before="160" w:after="100"/>
      </w:pPr>
      <w:r>
        <w:rPr>
          <w:rFonts w:ascii="Carlito" w:hAnsi="Carlito" w:eastAsia="Carlito"/>
        </w:rPr>
        <w:t xml:space="preserve">11. Реестр существенных контактов</w:t>
      </w:r>
    </w:p>
    <w:p>
      <w:pPr>
        <w:pStyle w:val="FirstParagraph"/>
        <w:widowControl/>
        <w:spacing w:line="259" w:lineRule="auto" w:after="90"/>
        <w:ind w:firstLine="360"/>
      </w:pPr>
      <w:r>
        <w:rPr>
          <w:rFonts w:ascii="Carlito" w:hAnsi="Carlito" w:eastAsia="Carlito"/>
        </w:rPr>
        <w:t xml:space="preserve">Должностные лица и официальные редакторы публикуют календарь существенных встреч и письменных обращений профессиональных представителей интересов: дату, участников, представляемый интерес, предмет и переданные материалы. Закрытая информация защищается, но наличие контакта и общая тема сохраняются.</w:t>
      </w:r>
    </w:p>
    <w:p>
      <w:pPr>
        <w:pStyle w:val="BodyText"/>
        <w:widowControl/>
      </w:pPr>
      <w:r>
        <w:rPr>
          <w:rFonts w:ascii="Carlito" w:hAnsi="Carlito" w:eastAsia="Carlito"/>
        </w:rPr>
        <w:t xml:space="preserve">Случайное общение, обращения обычных граждан и сведения, раскрывающие уязвимого заявителя, не включаются в персонализированный реестр.</w:t>
      </w:r>
    </w:p>
    <w:bookmarkEnd w:id="110"/>
    <w:bookmarkStart w:id="111" w:name="материалы-исследования-и-данные"/>
    <w:p>
      <w:pPr>
        <w:pStyle w:val="Heading2"/>
        <w:keepNext/>
        <w:keepLines/>
        <w:widowControl/>
        <w:spacing w:before="160" w:after="100"/>
      </w:pPr>
      <w:r>
        <w:rPr>
          <w:rFonts w:ascii="Carlito" w:hAnsi="Carlito" w:eastAsia="Carlito"/>
        </w:rPr>
        <w:t xml:space="preserve">12. Материалы, исследования и данные</w:t>
      </w:r>
    </w:p>
    <w:p>
      <w:pPr>
        <w:pStyle w:val="FirstParagraph"/>
        <w:widowControl/>
        <w:spacing w:line="259" w:lineRule="auto" w:after="90"/>
        <w:ind w:firstLine="360"/>
      </w:pPr>
      <w:r>
        <w:rPr>
          <w:rFonts w:ascii="Carlito" w:hAnsi="Carlito" w:eastAsia="Carlito"/>
        </w:rPr>
        <w:t xml:space="preserve">Каждый официальный экспертный материал содержит сведения о заказчике, финансировании, авторах, конфликтах, источниках данных, методике и доступных ограничениях. Передача закрытого набора данных, модели или аналитического сервиса признаётся неденежным вкладом и раскрывается.</w:t>
      </w:r>
    </w:p>
    <w:p>
      <w:pPr>
        <w:pStyle w:val="BodyText"/>
        <w:widowControl/>
      </w:pPr>
      <w:r>
        <w:rPr>
          <w:rFonts w:ascii="Carlito" w:hAnsi="Carlito" w:eastAsia="Carlito"/>
        </w:rPr>
        <w:t xml:space="preserve">Орган не вправе использовать материал, происхождение которого невозможно проверить, как единственное основание решения, затрагивающего допуск или формулировку инициативы.</w:t>
      </w:r>
    </w:p>
    <w:bookmarkEnd w:id="111"/>
    <w:bookmarkStart w:id="112" w:name="позднее-и-неформальное-влияние"/>
    <w:p>
      <w:pPr>
        <w:pStyle w:val="Heading2"/>
        <w:keepNext/>
        <w:keepLines/>
        <w:widowControl/>
        <w:spacing w:before="160" w:after="100"/>
      </w:pPr>
      <w:r>
        <w:rPr>
          <w:rFonts w:ascii="Carlito" w:hAnsi="Carlito" w:eastAsia="Carlito"/>
        </w:rPr>
        <w:t xml:space="preserve">13. Позднее и неформальное влияние</w:t>
      </w:r>
    </w:p>
    <w:p>
      <w:pPr>
        <w:pStyle w:val="FirstParagraph"/>
        <w:widowControl/>
        <w:spacing w:line="259" w:lineRule="auto" w:after="90"/>
        <w:ind w:firstLine="360"/>
      </w:pPr>
      <w:r>
        <w:rPr>
          <w:rFonts w:ascii="Carlito" w:hAnsi="Carlito" w:eastAsia="Carlito"/>
        </w:rPr>
        <w:t xml:space="preserve">Существенные материалы, полученные после официального срока или вне установленного канала, регистрируются и предоставляются всем сторонам с разумным временем для ответа. Не допускается менять формулировку, методику или статус на основании закрытой консультации непосредственно перед решением.</w:t>
      </w:r>
    </w:p>
    <w:p>
      <w:pPr>
        <w:pStyle w:val="BodyText"/>
        <w:widowControl/>
      </w:pPr>
      <w:r>
        <w:rPr>
          <w:rFonts w:ascii="Carlito" w:hAnsi="Carlito" w:eastAsia="Carlito"/>
        </w:rPr>
        <w:t xml:space="preserve">При невозможности предоставить равное время решение переносится либо поздний материал исключается, если это не создаёт непосредственную угрозу правам или безопасности.</w:t>
      </w:r>
    </w:p>
    <w:bookmarkEnd w:id="112"/>
    <w:bookmarkStart w:id="113" w:name="редакционный-след"/>
    <w:p>
      <w:pPr>
        <w:pStyle w:val="Heading2"/>
        <w:keepNext/>
        <w:keepLines/>
        <w:widowControl/>
        <w:spacing w:before="160" w:after="100"/>
      </w:pPr>
      <w:r>
        <w:rPr>
          <w:rFonts w:ascii="Carlito" w:hAnsi="Carlito" w:eastAsia="Carlito"/>
        </w:rPr>
        <w:t xml:space="preserve">14. Редакционный след</w:t>
      </w:r>
    </w:p>
    <w:p>
      <w:pPr>
        <w:pStyle w:val="FirstParagraph"/>
        <w:widowControl/>
        <w:spacing w:line="259" w:lineRule="auto" w:after="90"/>
        <w:ind w:firstLine="360"/>
      </w:pPr>
      <w:r>
        <w:rPr>
          <w:rFonts w:ascii="Carlito" w:hAnsi="Carlito" w:eastAsia="Carlito"/>
        </w:rPr>
        <w:t xml:space="preserve">Все изменения общественной инициативы сохраняются построчно с указанием автора изменения, основания, источника предложения и согласия представителя инициативы. Алгоритмическая рекомендация маркируется; её поставщик, обучающие данные в допустимом объёме и критерии использования подлежат аудиту.</w:t>
      </w:r>
    </w:p>
    <w:p>
      <w:pPr>
        <w:pStyle w:val="BodyText"/>
        <w:widowControl/>
      </w:pPr>
      <w:r>
        <w:rPr>
          <w:rFonts w:ascii="Carlito" w:hAnsi="Carlito" w:eastAsia="Carlito"/>
        </w:rPr>
        <w:t xml:space="preserve">Редакционный след хранится отдельно от персональной истории поддержавших инициативу граждан.</w:t>
      </w:r>
    </w:p>
    <w:bookmarkEnd w:id="113"/>
    <w:bookmarkStart w:id="114" w:name="X8acf1952086812c0558e2f92a080f1a323904e8"/>
    <w:p>
      <w:pPr>
        <w:pStyle w:val="Heading2"/>
        <w:keepNext/>
        <w:keepLines/>
        <w:widowControl/>
        <w:spacing w:before="160" w:after="100"/>
      </w:pPr>
      <w:r>
        <w:rPr>
          <w:rFonts w:ascii="Carlito" w:hAnsi="Carlito" w:eastAsia="Carlito"/>
        </w:rPr>
        <w:t xml:space="preserve">15. Конфликты редактора, эксперта, модератора, аудитора и оценщика</w:t>
      </w:r>
    </w:p>
    <w:p>
      <w:pPr>
        <w:pStyle w:val="FirstParagraph"/>
        <w:widowControl/>
        <w:spacing w:line="259" w:lineRule="auto" w:after="90"/>
        <w:ind w:firstLine="360"/>
      </w:pPr>
      <w:r>
        <w:rPr>
          <w:rFonts w:ascii="Carlito" w:hAnsi="Carlito" w:eastAsia="Carlito"/>
        </w:rPr>
        <w:t xml:space="preserve">До назначения лицо раскрывает существенные финансовые, профессиональные, семейные и организационные связи за установленный период. Конфликт оценивается по конкретной функции: связь, допустимая для общего консультанта, может исключать роль единственного эксперта или арбитра.</w:t>
      </w:r>
    </w:p>
    <w:p>
      <w:pPr>
        <w:pStyle w:val="BodyText"/>
        <w:widowControl/>
      </w:pPr>
      <w:r>
        <w:rPr>
          <w:rFonts w:ascii="Carlito" w:hAnsi="Carlito" w:eastAsia="Carlito"/>
        </w:rPr>
        <w:t xml:space="preserve">Само раскрытие не всегда достаточно. Для материального конфликта применяются отвод, ограничение доступа, замена, дополнительная независимая экспертиза или состязательное представление альтернатив.</w:t>
      </w:r>
    </w:p>
    <w:bookmarkEnd w:id="114"/>
    <w:bookmarkStart w:id="115" w:name="несовместимость-функций"/>
    <w:p>
      <w:pPr>
        <w:pStyle w:val="Heading2"/>
        <w:keepNext/>
        <w:keepLines/>
        <w:widowControl/>
        <w:spacing w:before="160" w:after="100"/>
      </w:pPr>
      <w:r>
        <w:rPr>
          <w:rFonts w:ascii="Carlito" w:hAnsi="Carlito" w:eastAsia="Carlito"/>
        </w:rPr>
        <w:t xml:space="preserve">16. Несовместимость функций</w:t>
      </w:r>
    </w:p>
    <w:tbl>
      <w:tblPr>
        <w:tblStyle w:val="TableGrid"/>
        <w:tblW w:type="pct" w:w="5000"/>
        <w:jc w:val="center"/>
        <w:tblLayout w:type="fixed"/>
        <w:tblLook w:firstRow="1" w:lastRow="0" w:firstColumn="0" w:lastColumn="0" w:noHBand="0" w:noVBand="0" w:val="0020"/>
      </w:tblPr>
      <w:tblGrid>
        <w:gridCol w:w="2640"/>
        <w:gridCol w:w="2640"/>
        <w:gridCol w:w="2640"/>
      </w:tblGrid>
      <w:tr>
        <w:trPr>
          <w:tblHeader w:val="true"/>
          <w:tblHeader w:val="true"/>
          <w:cantSplit/>
          <w:tblHeader w:val="true"/>
        </w:trPr>
        <w:tc>
          <w:tcPr>
            <w:tcMar>
              <w:top w:w="65" w:type="dxa"/>
              <w:start w:w="65" w:type="dxa"/>
              <w:bottom w:w="65" w:type="dxa"/>
              <w:end w:w="65" w:type="dxa"/>
            </w:tcMar>
            <w:vAlign w:val="center"/>
            <w:shd w:fill="17365D"/>
            <w:tcW w:type="dxa" w:w="2808"/>
          </w:tcPr>
          <w:p>
            <w:pPr>
              <w:spacing w:after="40" w:line="240" w:lineRule="auto" w:before="0"/>
              <w:jc w:val="center"/>
            </w:pPr>
            <w:r>
              <w:rPr>
                <w:rFonts w:ascii="Carlito" w:hAnsi="Carlito" w:eastAsia="Carlito"/>
                <w:b/>
                <w:color w:val="FFFFFF"/>
                <w:sz w:val="16"/>
              </w:rPr>
              <w:t xml:space="preserve">Функция А</w:t>
            </w:r>
          </w:p>
        </w:tc>
        <w:tc>
          <w:tcPr>
            <w:tcMar>
              <w:top w:w="65" w:type="dxa"/>
              <w:start w:w="65" w:type="dxa"/>
              <w:bottom w:w="65" w:type="dxa"/>
              <w:end w:w="65" w:type="dxa"/>
            </w:tcMar>
            <w:vAlign w:val="center"/>
            <w:shd w:fill="17365D"/>
            <w:tcW w:type="dxa" w:w="3240"/>
          </w:tcPr>
          <w:p>
            <w:pPr>
              <w:spacing w:after="40" w:line="240" w:lineRule="auto" w:before="0"/>
              <w:jc w:val="center"/>
            </w:pPr>
            <w:r>
              <w:rPr>
                <w:rFonts w:ascii="Carlito" w:hAnsi="Carlito" w:eastAsia="Carlito"/>
                <w:b/>
                <w:color w:val="FFFFFF"/>
                <w:sz w:val="16"/>
              </w:rPr>
              <w:t xml:space="preserve">Несовместимая функция Б</w:t>
            </w:r>
          </w:p>
        </w:tc>
        <w:tc>
          <w:tcPr>
            <w:tcMar>
              <w:top w:w="65" w:type="dxa"/>
              <w:start w:w="65" w:type="dxa"/>
              <w:bottom w:w="65" w:type="dxa"/>
              <w:end w:w="65" w:type="dxa"/>
            </w:tcMar>
            <w:vAlign w:val="center"/>
            <w:shd w:fill="17365D"/>
            <w:tcW w:type="dxa" w:w="4032"/>
          </w:tcPr>
          <w:p>
            <w:pPr>
              <w:spacing w:after="40" w:line="240" w:lineRule="auto" w:before="0"/>
              <w:jc w:val="center"/>
            </w:pPr>
            <w:r>
              <w:rPr>
                <w:rFonts w:ascii="Carlito" w:hAnsi="Carlito" w:eastAsia="Carlito"/>
                <w:b/>
                <w:color w:val="FFFFFF"/>
                <w:sz w:val="16"/>
              </w:rPr>
              <w:t xml:space="preserve">Причина</w:t>
            </w:r>
          </w:p>
        </w:tc>
      </w:tr>
      <w:tr>
        <w:trPr>
          <w:cantSplit/>
        </w:trPr>
        <w:tc>
          <w:tcPr>
            <w:tcMar>
              <w:top w:w="65" w:type="dxa"/>
              <w:start w:w="65" w:type="dxa"/>
              <w:bottom w:w="65" w:type="dxa"/>
              <w:end w:w="65" w:type="dxa"/>
            </w:tcMar>
            <w:vAlign w:val="center"/>
            <w:tcW w:type="dxa" w:w="2808"/>
          </w:tcPr>
          <w:p>
            <w:pPr>
              <w:spacing w:after="40" w:line="240" w:lineRule="auto" w:before="0"/>
              <w:jc w:val="left"/>
            </w:pPr>
            <w:r>
              <w:rPr>
                <w:rFonts w:ascii="Carlito" w:hAnsi="Carlito" w:eastAsia="Carlito"/>
                <w:b w:val="0"/>
                <w:color w:val="000000"/>
                <w:sz w:val="16"/>
              </w:rPr>
              <w:t xml:space="preserve">Оператор цикла</w:t>
            </w:r>
          </w:p>
        </w:tc>
        <w:tc>
          <w:tcPr>
            <w:tcMar>
              <w:top w:w="65" w:type="dxa"/>
              <w:start w:w="65" w:type="dxa"/>
              <w:bottom w:w="65" w:type="dxa"/>
              <w:end w:w="65" w:type="dxa"/>
            </w:tcMar>
            <w:vAlign w:val="center"/>
            <w:tcW w:type="dxa" w:w="3240"/>
          </w:tcPr>
          <w:p>
            <w:pPr>
              <w:spacing w:after="40" w:line="240" w:lineRule="auto" w:before="0"/>
              <w:jc w:val="left"/>
            </w:pPr>
            <w:r>
              <w:rPr>
                <w:rFonts w:ascii="Carlito" w:hAnsi="Carlito" w:eastAsia="Carlito"/>
                <w:b w:val="0"/>
                <w:color w:val="000000"/>
                <w:sz w:val="16"/>
              </w:rPr>
              <w:t xml:space="preserve">Итоговый независимый оценщик</w:t>
            </w:r>
          </w:p>
        </w:tc>
        <w:tc>
          <w:tcPr>
            <w:tcMar>
              <w:top w:w="65" w:type="dxa"/>
              <w:start w:w="65" w:type="dxa"/>
              <w:bottom w:w="65" w:type="dxa"/>
              <w:end w:w="65" w:type="dxa"/>
            </w:tcMar>
            <w:vAlign w:val="center"/>
            <w:tcW w:type="dxa" w:w="4032"/>
          </w:tcPr>
          <w:p>
            <w:pPr>
              <w:spacing w:after="40" w:line="240" w:lineRule="auto" w:before="0"/>
              <w:jc w:val="left"/>
            </w:pPr>
            <w:r>
              <w:rPr>
                <w:rFonts w:ascii="Carlito" w:hAnsi="Carlito" w:eastAsia="Carlito"/>
                <w:b w:val="0"/>
                <w:color w:val="000000"/>
                <w:sz w:val="16"/>
              </w:rPr>
              <w:t xml:space="preserve">Заинтересованность в признании собственной работы успешной.</w:t>
            </w:r>
          </w:p>
        </w:tc>
      </w:tr>
      <w:tr>
        <w:trPr>
          <w:cantSplit/>
        </w:trPr>
        <w:tc>
          <w:tcPr>
            <w:tcMar>
              <w:top w:w="65" w:type="dxa"/>
              <w:start w:w="65" w:type="dxa"/>
              <w:bottom w:w="65" w:type="dxa"/>
              <w:end w:w="65" w:type="dxa"/>
            </w:tcMar>
            <w:vAlign w:val="center"/>
            <w:shd w:fill="EEF3F8"/>
            <w:tcW w:type="dxa" w:w="2808"/>
          </w:tcPr>
          <w:p>
            <w:pPr>
              <w:spacing w:after="40" w:line="240" w:lineRule="auto" w:before="0"/>
              <w:jc w:val="left"/>
            </w:pPr>
            <w:r>
              <w:rPr>
                <w:rFonts w:ascii="Carlito" w:hAnsi="Carlito" w:eastAsia="Carlito"/>
                <w:b w:val="0"/>
                <w:color w:val="000000"/>
                <w:sz w:val="16"/>
              </w:rPr>
              <w:t xml:space="preserve">Редактор инициативы</w:t>
            </w:r>
          </w:p>
        </w:tc>
        <w:tc>
          <w:tcPr>
            <w:tcMar>
              <w:top w:w="65" w:type="dxa"/>
              <w:start w:w="65" w:type="dxa"/>
              <w:bottom w:w="65" w:type="dxa"/>
              <w:end w:w="65" w:type="dxa"/>
            </w:tcMar>
            <w:vAlign w:val="center"/>
            <w:shd w:fill="EEF3F8"/>
            <w:tcW w:type="dxa" w:w="3240"/>
          </w:tcPr>
          <w:p>
            <w:pPr>
              <w:spacing w:after="40" w:line="240" w:lineRule="auto" w:before="0"/>
              <w:jc w:val="left"/>
            </w:pPr>
            <w:r>
              <w:rPr>
                <w:rFonts w:ascii="Carlito" w:hAnsi="Carlito" w:eastAsia="Carlito"/>
                <w:b w:val="0"/>
                <w:color w:val="000000"/>
                <w:sz w:val="16"/>
              </w:rPr>
              <w:t xml:space="preserve">Финальный арбитр спора о сохранении смысла</w:t>
            </w:r>
          </w:p>
        </w:tc>
        <w:tc>
          <w:tcPr>
            <w:tcMar>
              <w:top w:w="65" w:type="dxa"/>
              <w:start w:w="65" w:type="dxa"/>
              <w:bottom w:w="65" w:type="dxa"/>
              <w:end w:w="65" w:type="dxa"/>
            </w:tcMar>
            <w:vAlign w:val="center"/>
            <w:shd w:fill="EEF3F8"/>
            <w:tcW w:type="dxa" w:w="4032"/>
          </w:tcPr>
          <w:p>
            <w:pPr>
              <w:spacing w:after="40" w:line="240" w:lineRule="auto" w:before="0"/>
              <w:jc w:val="left"/>
            </w:pPr>
            <w:r>
              <w:rPr>
                <w:rFonts w:ascii="Carlito" w:hAnsi="Carlito" w:eastAsia="Carlito"/>
                <w:b w:val="0"/>
                <w:color w:val="000000"/>
                <w:sz w:val="16"/>
              </w:rPr>
              <w:t xml:space="preserve">Самопроверка скрытого редакционного решения.</w:t>
            </w:r>
          </w:p>
        </w:tc>
      </w:tr>
      <w:tr>
        <w:trPr>
          <w:cantSplit/>
        </w:trPr>
        <w:tc>
          <w:tcPr>
            <w:tcMar>
              <w:top w:w="65" w:type="dxa"/>
              <w:start w:w="65" w:type="dxa"/>
              <w:bottom w:w="65" w:type="dxa"/>
              <w:end w:w="65" w:type="dxa"/>
            </w:tcMar>
            <w:vAlign w:val="center"/>
            <w:tcW w:type="dxa" w:w="2808"/>
          </w:tcPr>
          <w:p>
            <w:pPr>
              <w:spacing w:after="40" w:line="240" w:lineRule="auto" w:before="0"/>
              <w:jc w:val="left"/>
            </w:pPr>
            <w:r>
              <w:rPr>
                <w:rFonts w:ascii="Carlito" w:hAnsi="Carlito" w:eastAsia="Carlito"/>
                <w:b w:val="0"/>
                <w:color w:val="000000"/>
                <w:sz w:val="16"/>
              </w:rPr>
              <w:t xml:space="preserve">Поставщик цифровой платформы</w:t>
            </w:r>
          </w:p>
        </w:tc>
        <w:tc>
          <w:tcPr>
            <w:tcMar>
              <w:top w:w="65" w:type="dxa"/>
              <w:start w:w="65" w:type="dxa"/>
              <w:bottom w:w="65" w:type="dxa"/>
              <w:end w:w="65" w:type="dxa"/>
            </w:tcMar>
            <w:vAlign w:val="center"/>
            <w:tcW w:type="dxa" w:w="3240"/>
          </w:tcPr>
          <w:p>
            <w:pPr>
              <w:spacing w:after="40" w:line="240" w:lineRule="auto" w:before="0"/>
              <w:jc w:val="left"/>
            </w:pPr>
            <w:r>
              <w:rPr>
                <w:rFonts w:ascii="Carlito" w:hAnsi="Carlito" w:eastAsia="Carlito"/>
                <w:b w:val="0"/>
                <w:color w:val="000000"/>
                <w:sz w:val="16"/>
              </w:rPr>
              <w:t xml:space="preserve">Единственный аудитор кода и результата</w:t>
            </w:r>
          </w:p>
        </w:tc>
        <w:tc>
          <w:tcPr>
            <w:tcMar>
              <w:top w:w="65" w:type="dxa"/>
              <w:start w:w="65" w:type="dxa"/>
              <w:bottom w:w="65" w:type="dxa"/>
              <w:end w:w="65" w:type="dxa"/>
            </w:tcMar>
            <w:vAlign w:val="center"/>
            <w:tcW w:type="dxa" w:w="4032"/>
          </w:tcPr>
          <w:p>
            <w:pPr>
              <w:spacing w:after="40" w:line="240" w:lineRule="auto" w:before="0"/>
              <w:jc w:val="left"/>
            </w:pPr>
            <w:r>
              <w:rPr>
                <w:rFonts w:ascii="Carlito" w:hAnsi="Carlito" w:eastAsia="Carlito"/>
                <w:b w:val="0"/>
                <w:color w:val="000000"/>
                <w:sz w:val="16"/>
              </w:rPr>
              <w:t xml:space="preserve">Невозможность независимой проверки.</w:t>
            </w:r>
          </w:p>
        </w:tc>
      </w:tr>
      <w:tr>
        <w:trPr>
          <w:cantSplit/>
        </w:trPr>
        <w:tc>
          <w:tcPr>
            <w:tcMar>
              <w:top w:w="65" w:type="dxa"/>
              <w:start w:w="65" w:type="dxa"/>
              <w:bottom w:w="65" w:type="dxa"/>
              <w:end w:w="65" w:type="dxa"/>
            </w:tcMar>
            <w:vAlign w:val="center"/>
            <w:shd w:fill="EEF3F8"/>
            <w:tcW w:type="dxa" w:w="2808"/>
          </w:tcPr>
          <w:p>
            <w:pPr>
              <w:spacing w:after="40" w:line="240" w:lineRule="auto" w:before="0"/>
              <w:jc w:val="left"/>
            </w:pPr>
            <w:r>
              <w:rPr>
                <w:rFonts w:ascii="Carlito" w:hAnsi="Carlito" w:eastAsia="Carlito"/>
                <w:b w:val="0"/>
                <w:color w:val="000000"/>
                <w:sz w:val="16"/>
              </w:rPr>
              <w:t xml:space="preserve">Финансист кампании</w:t>
            </w:r>
          </w:p>
        </w:tc>
        <w:tc>
          <w:tcPr>
            <w:tcMar>
              <w:top w:w="65" w:type="dxa"/>
              <w:start w:w="65" w:type="dxa"/>
              <w:bottom w:w="65" w:type="dxa"/>
              <w:end w:w="65" w:type="dxa"/>
            </w:tcMar>
            <w:vAlign w:val="center"/>
            <w:shd w:fill="EEF3F8"/>
            <w:tcW w:type="dxa" w:w="3240"/>
          </w:tcPr>
          <w:p>
            <w:pPr>
              <w:spacing w:after="40" w:line="240" w:lineRule="auto" w:before="0"/>
              <w:jc w:val="left"/>
            </w:pPr>
            <w:r>
              <w:rPr>
                <w:rFonts w:ascii="Carlito" w:hAnsi="Carlito" w:eastAsia="Carlito"/>
                <w:b w:val="0"/>
                <w:color w:val="000000"/>
                <w:sz w:val="16"/>
              </w:rPr>
              <w:t xml:space="preserve">Эксперт, определяющий последствия той же инициативы</w:t>
            </w:r>
          </w:p>
        </w:tc>
        <w:tc>
          <w:tcPr>
            <w:tcMar>
              <w:top w:w="65" w:type="dxa"/>
              <w:start w:w="65" w:type="dxa"/>
              <w:bottom w:w="65" w:type="dxa"/>
              <w:end w:w="65" w:type="dxa"/>
            </w:tcMar>
            <w:vAlign w:val="center"/>
            <w:shd w:fill="EEF3F8"/>
            <w:tcW w:type="dxa" w:w="4032"/>
          </w:tcPr>
          <w:p>
            <w:pPr>
              <w:spacing w:after="40" w:line="240" w:lineRule="auto" w:before="0"/>
              <w:jc w:val="left"/>
            </w:pPr>
            <w:r>
              <w:rPr>
                <w:rFonts w:ascii="Carlito" w:hAnsi="Carlito" w:eastAsia="Carlito"/>
                <w:b w:val="0"/>
                <w:color w:val="000000"/>
                <w:sz w:val="16"/>
              </w:rPr>
              <w:t xml:space="preserve">Материальная заинтересованность.</w:t>
            </w:r>
          </w:p>
        </w:tc>
      </w:tr>
      <w:tr>
        <w:trPr>
          <w:cantSplit/>
        </w:trPr>
        <w:tc>
          <w:tcPr>
            <w:tcMar>
              <w:top w:w="65" w:type="dxa"/>
              <w:start w:w="65" w:type="dxa"/>
              <w:bottom w:w="65" w:type="dxa"/>
              <w:end w:w="65" w:type="dxa"/>
            </w:tcMar>
            <w:vAlign w:val="center"/>
            <w:tcW w:type="dxa" w:w="2808"/>
          </w:tcPr>
          <w:p>
            <w:pPr>
              <w:spacing w:after="40" w:line="240" w:lineRule="auto" w:before="0"/>
              <w:jc w:val="left"/>
            </w:pPr>
            <w:r>
              <w:rPr>
                <w:rFonts w:ascii="Carlito" w:hAnsi="Carlito" w:eastAsia="Carlito"/>
                <w:b w:val="0"/>
                <w:color w:val="000000"/>
                <w:sz w:val="16"/>
              </w:rPr>
              <w:t xml:space="preserve">Государственный инициатор</w:t>
            </w:r>
          </w:p>
        </w:tc>
        <w:tc>
          <w:tcPr>
            <w:tcMar>
              <w:top w:w="65" w:type="dxa"/>
              <w:start w:w="65" w:type="dxa"/>
              <w:bottom w:w="65" w:type="dxa"/>
              <w:end w:w="65" w:type="dxa"/>
            </w:tcMar>
            <w:vAlign w:val="center"/>
            <w:tcW w:type="dxa" w:w="3240"/>
          </w:tcPr>
          <w:p>
            <w:pPr>
              <w:spacing w:after="40" w:line="240" w:lineRule="auto" w:before="0"/>
              <w:jc w:val="left"/>
            </w:pPr>
            <w:r>
              <w:rPr>
                <w:rFonts w:ascii="Carlito" w:hAnsi="Carlito" w:eastAsia="Carlito"/>
                <w:b w:val="0"/>
                <w:color w:val="000000"/>
                <w:sz w:val="16"/>
              </w:rPr>
              <w:t xml:space="preserve">Модератор или орган допуска той же инициативы</w:t>
            </w:r>
          </w:p>
        </w:tc>
        <w:tc>
          <w:tcPr>
            <w:tcMar>
              <w:top w:w="65" w:type="dxa"/>
              <w:start w:w="65" w:type="dxa"/>
              <w:bottom w:w="65" w:type="dxa"/>
              <w:end w:w="65" w:type="dxa"/>
            </w:tcMar>
            <w:vAlign w:val="center"/>
            <w:tcW w:type="dxa" w:w="4032"/>
          </w:tcPr>
          <w:p>
            <w:pPr>
              <w:spacing w:after="40" w:line="240" w:lineRule="auto" w:before="0"/>
              <w:jc w:val="left"/>
            </w:pPr>
            <w:r>
              <w:rPr>
                <w:rFonts w:ascii="Carlito" w:hAnsi="Carlito" w:eastAsia="Carlito"/>
                <w:b w:val="0"/>
                <w:color w:val="000000"/>
                <w:sz w:val="16"/>
              </w:rPr>
              <w:t xml:space="preserve">Административное преимущество.</w:t>
            </w:r>
          </w:p>
        </w:tc>
      </w:tr>
      <w:tr>
        <w:trPr>
          <w:cantSplit/>
        </w:trPr>
        <w:tc>
          <w:tcPr>
            <w:tcMar>
              <w:top w:w="65" w:type="dxa"/>
              <w:start w:w="65" w:type="dxa"/>
              <w:bottom w:w="65" w:type="dxa"/>
              <w:end w:w="65" w:type="dxa"/>
            </w:tcMar>
            <w:vAlign w:val="center"/>
            <w:shd w:fill="EEF3F8"/>
            <w:tcW w:type="dxa" w:w="2808"/>
          </w:tcPr>
          <w:p>
            <w:pPr>
              <w:spacing w:after="40" w:line="240" w:lineRule="auto" w:before="0"/>
              <w:jc w:val="left"/>
            </w:pPr>
            <w:r>
              <w:rPr>
                <w:rFonts w:ascii="Carlito" w:hAnsi="Carlito" w:eastAsia="Carlito"/>
                <w:b w:val="0"/>
                <w:color w:val="000000"/>
                <w:sz w:val="16"/>
              </w:rPr>
              <w:t xml:space="preserve">Лоббист клиента</w:t>
            </w:r>
          </w:p>
        </w:tc>
        <w:tc>
          <w:tcPr>
            <w:tcMar>
              <w:top w:w="65" w:type="dxa"/>
              <w:start w:w="65" w:type="dxa"/>
              <w:bottom w:w="65" w:type="dxa"/>
              <w:end w:w="65" w:type="dxa"/>
            </w:tcMar>
            <w:vAlign w:val="center"/>
            <w:shd w:fill="EEF3F8"/>
            <w:tcW w:type="dxa" w:w="3240"/>
          </w:tcPr>
          <w:p>
            <w:pPr>
              <w:spacing w:after="40" w:line="240" w:lineRule="auto" w:before="0"/>
              <w:jc w:val="left"/>
            </w:pPr>
            <w:r>
              <w:rPr>
                <w:rFonts w:ascii="Carlito" w:hAnsi="Carlito" w:eastAsia="Carlito"/>
                <w:b w:val="0"/>
                <w:color w:val="000000"/>
                <w:sz w:val="16"/>
              </w:rPr>
              <w:t xml:space="preserve">Член панели, принимающей официальное решение по предмету клиента</w:t>
            </w:r>
          </w:p>
        </w:tc>
        <w:tc>
          <w:tcPr>
            <w:tcMar>
              <w:top w:w="65" w:type="dxa"/>
              <w:start w:w="65" w:type="dxa"/>
              <w:bottom w:w="65" w:type="dxa"/>
              <w:end w:w="65" w:type="dxa"/>
            </w:tcMar>
            <w:vAlign w:val="center"/>
            <w:shd w:fill="EEF3F8"/>
            <w:tcW w:type="dxa" w:w="4032"/>
          </w:tcPr>
          <w:p>
            <w:pPr>
              <w:spacing w:after="40" w:line="240" w:lineRule="auto" w:before="0"/>
              <w:jc w:val="left"/>
            </w:pPr>
            <w:r>
              <w:rPr>
                <w:rFonts w:ascii="Carlito" w:hAnsi="Carlito" w:eastAsia="Carlito"/>
                <w:b w:val="0"/>
                <w:color w:val="000000"/>
                <w:sz w:val="16"/>
              </w:rPr>
              <w:t xml:space="preserve">Прямой конфликт представительства и публичной функции.</w:t>
            </w:r>
          </w:p>
        </w:tc>
      </w:tr>
    </w:tbl>
    <w:bookmarkEnd w:id="115"/>
    <w:bookmarkStart w:id="116" w:name="отвод-и-замещение"/>
    <w:p>
      <w:pPr>
        <w:pStyle w:val="Heading2"/>
        <w:keepNext/>
        <w:keepLines/>
        <w:widowControl/>
        <w:spacing w:before="160" w:after="100"/>
      </w:pPr>
      <w:r>
        <w:rPr>
          <w:rFonts w:ascii="Carlito" w:hAnsi="Carlito" w:eastAsia="Carlito"/>
        </w:rPr>
        <w:t xml:space="preserve">17. Отвод и замещение</w:t>
      </w:r>
    </w:p>
    <w:p>
      <w:pPr>
        <w:pStyle w:val="FirstParagraph"/>
        <w:widowControl/>
        <w:spacing w:line="259" w:lineRule="auto" w:after="90"/>
        <w:ind w:firstLine="360"/>
      </w:pPr>
      <w:r>
        <w:rPr>
          <w:rFonts w:ascii="Carlito" w:hAnsi="Carlito" w:eastAsia="Carlito"/>
        </w:rPr>
        <w:t xml:space="preserve">Основания отвода публикуются и применяются одинаково. Решение принимает не само заинтересованное лицо, а независимый процессный владелец с возможностью ускоренного обжалования. Отвод не используется для идеологической чистки: профессиональное знание темы не равно конфликту.</w:t>
      </w:r>
    </w:p>
    <w:p>
      <w:pPr>
        <w:pStyle w:val="BodyText"/>
        <w:widowControl/>
      </w:pPr>
      <w:r>
        <w:rPr>
          <w:rFonts w:ascii="Carlito" w:hAnsi="Carlito" w:eastAsia="Carlito"/>
        </w:rPr>
        <w:t xml:space="preserve">При дефиците специалистов возможны раскрытие, ограничение роли, множественная экспертиза и независимое рецензирование вместо полного исключения — если риск контролируем и это публично объяснено.</w:t>
      </w:r>
    </w:p>
    <w:bookmarkEnd w:id="116"/>
    <w:bookmarkStart w:id="117" w:name="вращающиеся-двери"/>
    <w:p>
      <w:pPr>
        <w:pStyle w:val="Heading2"/>
        <w:keepNext/>
        <w:keepLines/>
        <w:widowControl/>
        <w:spacing w:before="160" w:after="100"/>
      </w:pPr>
      <w:r>
        <w:rPr>
          <w:rFonts w:ascii="Carlito" w:hAnsi="Carlito" w:eastAsia="Carlito"/>
        </w:rPr>
        <w:t xml:space="preserve">18. «Вращающиеся двери»</w:t>
      </w:r>
    </w:p>
    <w:p>
      <w:pPr>
        <w:pStyle w:val="FirstParagraph"/>
        <w:widowControl/>
        <w:spacing w:line="259" w:lineRule="auto" w:after="90"/>
        <w:ind w:firstLine="360"/>
      </w:pPr>
      <w:r>
        <w:rPr>
          <w:rFonts w:ascii="Carlito" w:hAnsi="Carlito" w:eastAsia="Carlito"/>
        </w:rPr>
        <w:t xml:space="preserve">Для должностей с доступом к непубличным данным, закупкам, методикам и решениям о допуске устанавливаются периоды охлаждения для перехода к заинтересованному поставщику, кампании или лоббисту. Ограничение должно быть соразмерным, срочным и, где необходимо, компенсированным.</w:t>
      </w:r>
    </w:p>
    <w:p>
      <w:pPr>
        <w:pStyle w:val="BodyText"/>
        <w:widowControl/>
      </w:pPr>
      <w:r>
        <w:rPr>
          <w:rFonts w:ascii="Carlito" w:hAnsi="Carlito" w:eastAsia="Carlito"/>
        </w:rPr>
        <w:t xml:space="preserve">Период охлаждения не должен превращаться в запрет профессиональной деятельности в целой отрасли. Он распространяется на конкретные функции, клиентов и предметы, в отношении которых лицо обладало существенной властью или закрытой информацией.</w:t>
      </w:r>
    </w:p>
    <w:bookmarkEnd w:id="117"/>
    <w:bookmarkStart w:id="118" w:name="подарки-вознаграждения-и-преимущества"/>
    <w:p>
      <w:pPr>
        <w:pStyle w:val="Heading2"/>
        <w:keepNext/>
        <w:keepLines/>
        <w:widowControl/>
        <w:spacing w:before="160" w:after="100"/>
      </w:pPr>
      <w:r>
        <w:rPr>
          <w:rFonts w:ascii="Carlito" w:hAnsi="Carlito" w:eastAsia="Carlito"/>
        </w:rPr>
        <w:t xml:space="preserve">19. Подарки, вознаграждения и преимущества</w:t>
      </w:r>
    </w:p>
    <w:p>
      <w:pPr>
        <w:pStyle w:val="FirstParagraph"/>
        <w:widowControl/>
        <w:spacing w:line="259" w:lineRule="auto" w:after="90"/>
        <w:ind w:firstLine="360"/>
      </w:pPr>
      <w:r>
        <w:rPr>
          <w:rFonts w:ascii="Carlito" w:hAnsi="Carlito" w:eastAsia="Carlito"/>
        </w:rPr>
        <w:t xml:space="preserve">Запрещаются подарки, услуги, трудоустройство, скидки, поездки и иные преимущества, связанные с официальной функцией. Допустимые знаки протокольного характера имеют низкий предел и регистрируются. Вознаграждение за экспертную работу выплачивается из прозрачного источника по единым правилам.</w:t>
      </w:r>
    </w:p>
    <w:bookmarkEnd w:id="118"/>
    <w:bookmarkStart w:id="119" w:name="закупочные-конфликты"/>
    <w:p>
      <w:pPr>
        <w:pStyle w:val="Heading2"/>
        <w:keepNext/>
        <w:keepLines/>
        <w:widowControl/>
        <w:spacing w:before="160" w:after="100"/>
      </w:pPr>
      <w:r>
        <w:rPr>
          <w:rFonts w:ascii="Carlito" w:hAnsi="Carlito" w:eastAsia="Carlito"/>
        </w:rPr>
        <w:t xml:space="preserve">20. Закупочные конфликты</w:t>
      </w:r>
    </w:p>
    <w:p>
      <w:pPr>
        <w:pStyle w:val="FirstParagraph"/>
        <w:widowControl/>
        <w:spacing w:line="259" w:lineRule="auto" w:after="90"/>
        <w:ind w:firstLine="360"/>
      </w:pPr>
      <w:r>
        <w:rPr>
          <w:rFonts w:ascii="Carlito" w:hAnsi="Carlito" w:eastAsia="Carlito"/>
        </w:rPr>
        <w:t xml:space="preserve">Лицо, участвующее в подготовке технического задания, оценке заявки или приёмке, раскрывает связи с поставщиками и отстраняется при материальном конфликте. Условия закупки не должны быть написаны под уникальный закрытый продукт без опубликованного обоснования совместимости и безопасности.</w:t>
      </w:r>
    </w:p>
    <w:p>
      <w:pPr>
        <w:pStyle w:val="BodyText"/>
        <w:widowControl/>
      </w:pPr>
      <w:r>
        <w:rPr>
          <w:rFonts w:ascii="Carlito" w:hAnsi="Carlito" w:eastAsia="Carlito"/>
        </w:rPr>
        <w:t xml:space="preserve">Поставщик, помогавший без конкурса проектировать требования, не получает автоматического преимущества в последующей закупке; его участие допускается только при равном доступе конкурентов к материалам и независимом контроле.</w:t>
      </w:r>
    </w:p>
    <w:bookmarkEnd w:id="119"/>
    <w:bookmarkStart w:id="120" w:name="медиа-платформы-и-политическая-реклама"/>
    <w:p>
      <w:pPr>
        <w:pStyle w:val="Heading2"/>
        <w:keepNext/>
        <w:keepLines/>
        <w:widowControl/>
        <w:spacing w:before="160" w:after="100"/>
      </w:pPr>
      <w:r>
        <w:rPr>
          <w:rFonts w:ascii="Carlito" w:hAnsi="Carlito" w:eastAsia="Carlito"/>
        </w:rPr>
        <w:t xml:space="preserve">21. Медиа, платформы и политическая реклама</w:t>
      </w:r>
    </w:p>
    <w:p>
      <w:pPr>
        <w:pStyle w:val="FirstParagraph"/>
        <w:widowControl/>
        <w:spacing w:line="259" w:lineRule="auto" w:after="90"/>
        <w:ind w:firstLine="360"/>
      </w:pPr>
      <w:r>
        <w:rPr>
          <w:rFonts w:ascii="Carlito" w:hAnsi="Carlito" w:eastAsia="Carlito"/>
        </w:rPr>
        <w:t xml:space="preserve">Официальный контур требует раскрытия заказчика платного продвижения, архива политической рекламы и маркировки синтетического олицетворения. Он не устанавливает истинность политических прогнозов, не требует раскрытия журналистских источников и не навязывает редакционную позицию.</w:t>
      </w:r>
    </w:p>
    <w:p>
      <w:pPr>
        <w:pStyle w:val="BodyText"/>
        <w:widowControl/>
      </w:pPr>
      <w:r>
        <w:rPr>
          <w:rFonts w:ascii="Carlito" w:hAnsi="Carlito" w:eastAsia="Carlito"/>
        </w:rPr>
        <w:t xml:space="preserve">Исследовательский доступ к агрегированным данным платформ допускается при защите коммерческой тайны, приватности и безопасности. Государство не получает постоянный канал микротаргетинга граждан.</w:t>
      </w:r>
    </w:p>
    <w:bookmarkEnd w:id="120"/>
    <w:bookmarkStart w:id="121" w:name="Xcd72f29b510947354588507af39b95508b58cb8"/>
    <w:p>
      <w:pPr>
        <w:pStyle w:val="Heading2"/>
        <w:keepNext/>
        <w:keepLines/>
        <w:widowControl/>
        <w:spacing w:before="160" w:after="100"/>
      </w:pPr>
      <w:r>
        <w:rPr>
          <w:rFonts w:ascii="Carlito" w:hAnsi="Carlito" w:eastAsia="Carlito"/>
        </w:rPr>
        <w:t xml:space="preserve">22. Искусственный интеллект и скрытое алгоритмическое влияние</w:t>
      </w:r>
    </w:p>
    <w:p>
      <w:pPr>
        <w:pStyle w:val="FirstParagraph"/>
        <w:widowControl/>
        <w:spacing w:line="259" w:lineRule="auto" w:after="90"/>
        <w:ind w:firstLine="360"/>
      </w:pPr>
      <w:r>
        <w:rPr>
          <w:rFonts w:ascii="Carlito" w:hAnsi="Carlito" w:eastAsia="Carlito"/>
        </w:rPr>
        <w:t xml:space="preserve">Использование генеративных моделей, ботов, рекомендательных систем и автоматизированной персонализации раскрывается, когда оно носит профессиональный и существенный характер. Запрещены скрытое массовое олицетворение реальных граждан, подделка официальных инструкций, незаконное использование персональных данных и координированное создание ложной видимости независимых участников.</w:t>
      </w:r>
    </w:p>
    <w:p>
      <w:pPr>
        <w:pStyle w:val="BodyText"/>
        <w:widowControl/>
      </w:pPr>
      <w:r>
        <w:rPr>
          <w:rFonts w:ascii="Carlito" w:hAnsi="Carlito" w:eastAsia="Carlito"/>
        </w:rPr>
        <w:t xml:space="preserve">Обычное использование гражданином цифрового инструмента для формулировки текста не лишает инициативу гражданского характера.</w:t>
      </w:r>
    </w:p>
    <w:bookmarkEnd w:id="121"/>
    <w:bookmarkStart w:id="122" w:name="жалобы-и-защита-информаторов"/>
    <w:p>
      <w:pPr>
        <w:widowControl/>
      </w:pPr>
      <w:r>
        <w:t>ИИ и антифрод не могут окончательно блокировать участие либо кампанию без проверки человеком, объяснения, права исправления и аудита ошибок по языкам, устройствам и группам. Запрещается обучать модель политической лояльности или использовать признаки Доктрины вне узкой технической цели.</w:t>
      </w:r>
    </w:p>
    <w:p>
      <w:pPr>
        <w:pStyle w:val="Heading2"/>
        <w:keepNext/>
        <w:keepLines/>
        <w:widowControl/>
        <w:spacing w:before="160" w:after="100"/>
      </w:pPr>
      <w:r>
        <w:rPr>
          <w:rFonts w:ascii="Carlito" w:hAnsi="Carlito" w:eastAsia="Carlito"/>
        </w:rPr>
        <w:t xml:space="preserve">23. Жалобы и защита информаторов</w:t>
      </w:r>
    </w:p>
    <w:p>
      <w:pPr>
        <w:pStyle w:val="FirstParagraph"/>
        <w:widowControl/>
        <w:spacing w:line="259" w:lineRule="auto" w:after="90"/>
        <w:ind w:firstLine="360"/>
      </w:pPr>
      <w:r>
        <w:rPr>
          <w:rFonts w:ascii="Carlito" w:hAnsi="Carlito" w:eastAsia="Carlito"/>
        </w:rPr>
        <w:t xml:space="preserve">Любое лицо может сообщить о скрытом заказчике, конфликте или административном давлении через защищённый канал. Заявитель защищается от преследования; анонимное сообщение может стать основанием проверки, но не единственным доказательством санкции.</w:t>
      </w:r>
    </w:p>
    <w:p>
      <w:pPr>
        <w:pStyle w:val="BodyText"/>
        <w:widowControl/>
      </w:pPr>
      <w:r>
        <w:rPr>
          <w:rFonts w:ascii="Carlito" w:hAnsi="Carlito" w:eastAsia="Carlito"/>
        </w:rPr>
        <w:t xml:space="preserve">Результаты проверки публикуются в объёме, совместимом с правами и безопасностью. Необоснованная жалоба без умысла не наказывается; заведомая фабрикация доказательств влечёт обычную ответственность.</w:t>
      </w:r>
    </w:p>
    <w:bookmarkEnd w:id="122"/>
    <w:bookmarkStart w:id="123" w:name="санкции-и-принцип-материальности"/>
    <w:p>
      <w:pPr>
        <w:pStyle w:val="Heading2"/>
        <w:keepNext/>
        <w:keepLines/>
        <w:widowControl/>
        <w:spacing w:before="160" w:after="100"/>
      </w:pPr>
      <w:r>
        <w:rPr>
          <w:rFonts w:ascii="Carlito" w:hAnsi="Carlito" w:eastAsia="Carlito"/>
        </w:rPr>
        <w:t xml:space="preserve">24. Санкции и принцип материальности</w:t>
      </w:r>
    </w:p>
    <w:tbl>
      <w:tblPr>
        <w:tblStyle w:val="TableGrid"/>
        <w:tblW w:type="pct" w:w="5000"/>
        <w:jc w:val="center"/>
        <w:tblLayout w:type="fixed"/>
        <w:tblLook w:firstRow="1" w:lastRow="0" w:firstColumn="0" w:lastColumn="0" w:noHBand="0" w:noVBand="0" w:val="0020"/>
      </w:tblPr>
      <w:tblGrid>
        <w:gridCol w:w="2640"/>
        <w:gridCol w:w="2640"/>
        <w:gridCol w:w="2640"/>
      </w:tblGrid>
      <w:tr>
        <w:trPr>
          <w:tblHeader w:val="true"/>
          <w:tblHeader w:val="true"/>
          <w:cantSplit/>
          <w:tblHeader w:val="true"/>
        </w:trPr>
        <w:tc>
          <w:tcPr>
            <w:tcMar>
              <w:top w:w="65" w:type="dxa"/>
              <w:start w:w="65" w:type="dxa"/>
              <w:bottom w:w="65" w:type="dxa"/>
              <w:end w:w="65" w:type="dxa"/>
            </w:tcMar>
            <w:vAlign w:val="center"/>
            <w:shd w:fill="17365D"/>
            <w:tcW w:type="dxa" w:w="2952"/>
          </w:tcPr>
          <w:p>
            <w:pPr>
              <w:spacing w:after="40" w:line="240" w:lineRule="auto" w:before="0"/>
              <w:jc w:val="center"/>
            </w:pPr>
            <w:r>
              <w:rPr>
                <w:rFonts w:ascii="Carlito" w:hAnsi="Carlito" w:eastAsia="Carlito"/>
                <w:b/>
                <w:color w:val="FFFFFF"/>
                <w:sz w:val="16"/>
              </w:rPr>
              <w:t xml:space="preserve">Нарушение</w:t>
            </w:r>
          </w:p>
        </w:tc>
        <w:tc>
          <w:tcPr>
            <w:tcMar>
              <w:top w:w="65" w:type="dxa"/>
              <w:start w:w="65" w:type="dxa"/>
              <w:bottom w:w="65" w:type="dxa"/>
              <w:end w:w="65" w:type="dxa"/>
            </w:tcMar>
            <w:vAlign w:val="center"/>
            <w:shd w:fill="17365D"/>
            <w:tcW w:type="dxa" w:w="3960"/>
          </w:tcPr>
          <w:p>
            <w:pPr>
              <w:spacing w:after="40" w:line="240" w:lineRule="auto" w:before="0"/>
              <w:jc w:val="center"/>
            </w:pPr>
            <w:r>
              <w:rPr>
                <w:rFonts w:ascii="Carlito" w:hAnsi="Carlito" w:eastAsia="Carlito"/>
                <w:b/>
                <w:color w:val="FFFFFF"/>
                <w:sz w:val="16"/>
              </w:rPr>
              <w:t xml:space="preserve">Основная мера</w:t>
            </w:r>
          </w:p>
        </w:tc>
        <w:tc>
          <w:tcPr>
            <w:tcMar>
              <w:top w:w="65" w:type="dxa"/>
              <w:start w:w="65" w:type="dxa"/>
              <w:bottom w:w="65" w:type="dxa"/>
              <w:end w:w="65" w:type="dxa"/>
            </w:tcMar>
            <w:vAlign w:val="center"/>
            <w:shd w:fill="17365D"/>
            <w:tcW w:type="dxa" w:w="3168"/>
          </w:tcPr>
          <w:p>
            <w:pPr>
              <w:spacing w:after="40" w:line="240" w:lineRule="auto" w:before="0"/>
              <w:jc w:val="center"/>
            </w:pPr>
            <w:r>
              <w:rPr>
                <w:rFonts w:ascii="Carlito" w:hAnsi="Carlito" w:eastAsia="Carlito"/>
                <w:b/>
                <w:color w:val="FFFFFF"/>
                <w:sz w:val="16"/>
              </w:rPr>
              <w:t xml:space="preserve">Дополнительная мера</w:t>
            </w:r>
          </w:p>
        </w:tc>
      </w:tr>
      <w:tr>
        <w:trPr>
          <w:cantSplit/>
        </w:trPr>
        <w:tc>
          <w:tcPr>
            <w:tcMar>
              <w:top w:w="65" w:type="dxa"/>
              <w:start w:w="65" w:type="dxa"/>
              <w:bottom w:w="65" w:type="dxa"/>
              <w:end w:w="65" w:type="dxa"/>
            </w:tcMar>
            <w:vAlign w:val="center"/>
            <w:tcW w:type="dxa" w:w="2952"/>
          </w:tcPr>
          <w:p>
            <w:pPr>
              <w:spacing w:after="40" w:line="240" w:lineRule="auto" w:before="0"/>
              <w:jc w:val="left"/>
            </w:pPr>
            <w:r>
              <w:rPr>
                <w:rFonts w:ascii="Carlito" w:hAnsi="Carlito" w:eastAsia="Carlito"/>
                <w:b w:val="0"/>
                <w:color w:val="000000"/>
                <w:sz w:val="16"/>
              </w:rPr>
              <w:t xml:space="preserve">Неполное раскрытие без существенного влияния</w:t>
            </w:r>
          </w:p>
        </w:tc>
        <w:tc>
          <w:tcPr>
            <w:tcMar>
              <w:top w:w="65" w:type="dxa"/>
              <w:start w:w="65" w:type="dxa"/>
              <w:bottom w:w="65" w:type="dxa"/>
              <w:end w:w="65" w:type="dxa"/>
            </w:tcMar>
            <w:vAlign w:val="center"/>
            <w:tcW w:type="dxa" w:w="3960"/>
          </w:tcPr>
          <w:p>
            <w:pPr>
              <w:spacing w:after="40" w:line="240" w:lineRule="auto" w:before="0"/>
              <w:jc w:val="left"/>
            </w:pPr>
            <w:r>
              <w:rPr>
                <w:rFonts w:ascii="Carlito" w:hAnsi="Carlito" w:eastAsia="Carlito"/>
                <w:b w:val="0"/>
                <w:color w:val="000000"/>
                <w:sz w:val="16"/>
              </w:rPr>
              <w:t xml:space="preserve">Предписание исправить, публикация корректировки.</w:t>
            </w:r>
          </w:p>
        </w:tc>
        <w:tc>
          <w:tcPr>
            <w:tcMar>
              <w:top w:w="65" w:type="dxa"/>
              <w:start w:w="65" w:type="dxa"/>
              <w:bottom w:w="65" w:type="dxa"/>
              <w:end w:w="65" w:type="dxa"/>
            </w:tcMar>
            <w:vAlign w:val="center"/>
            <w:tcW w:type="dxa" w:w="3168"/>
          </w:tcPr>
          <w:p>
            <w:pPr>
              <w:spacing w:after="40" w:line="240" w:lineRule="auto" w:before="0"/>
              <w:jc w:val="left"/>
            </w:pPr>
            <w:r>
              <w:rPr>
                <w:rFonts w:ascii="Carlito" w:hAnsi="Carlito" w:eastAsia="Carlito"/>
                <w:b w:val="0"/>
                <w:color w:val="000000"/>
                <w:sz w:val="16"/>
              </w:rPr>
              <w:t xml:space="preserve">Предупреждение, обучение, контроль повторности.</w:t>
            </w:r>
          </w:p>
        </w:tc>
      </w:tr>
      <w:tr>
        <w:trPr>
          <w:cantSplit/>
        </w:trPr>
        <w:tc>
          <w:tcPr>
            <w:tcMar>
              <w:top w:w="65" w:type="dxa"/>
              <w:start w:w="65" w:type="dxa"/>
              <w:bottom w:w="65" w:type="dxa"/>
              <w:end w:w="65" w:type="dxa"/>
            </w:tcMar>
            <w:vAlign w:val="center"/>
            <w:shd w:fill="EEF3F8"/>
            <w:tcW w:type="dxa" w:w="2952"/>
          </w:tcPr>
          <w:p>
            <w:pPr>
              <w:spacing w:after="40" w:line="240" w:lineRule="auto" w:before="0"/>
              <w:jc w:val="left"/>
            </w:pPr>
            <w:r>
              <w:rPr>
                <w:rFonts w:ascii="Carlito" w:hAnsi="Carlito" w:eastAsia="Carlito"/>
                <w:b w:val="0"/>
                <w:color w:val="000000"/>
                <w:sz w:val="16"/>
              </w:rPr>
              <w:t xml:space="preserve">Скрытый крупный заказчик или дробление</w:t>
            </w:r>
          </w:p>
        </w:tc>
        <w:tc>
          <w:tcPr>
            <w:tcMar>
              <w:top w:w="65" w:type="dxa"/>
              <w:start w:w="65" w:type="dxa"/>
              <w:bottom w:w="65" w:type="dxa"/>
              <w:end w:w="65" w:type="dxa"/>
            </w:tcMar>
            <w:vAlign w:val="center"/>
            <w:shd w:fill="EEF3F8"/>
            <w:tcW w:type="dxa" w:w="3960"/>
          </w:tcPr>
          <w:p>
            <w:pPr>
              <w:spacing w:after="40" w:line="240" w:lineRule="auto" w:before="0"/>
              <w:jc w:val="left"/>
            </w:pPr>
            <w:r>
              <w:rPr>
                <w:rFonts w:ascii="Carlito" w:hAnsi="Carlito" w:eastAsia="Carlito"/>
                <w:b w:val="0"/>
                <w:color w:val="000000"/>
                <w:sz w:val="16"/>
              </w:rPr>
              <w:t xml:space="preserve">Раскрытие, административная санкция, повторное подтверждение затронутой стадии.</w:t>
            </w:r>
          </w:p>
        </w:tc>
        <w:tc>
          <w:tcPr>
            <w:tcMar>
              <w:top w:w="65" w:type="dxa"/>
              <w:start w:w="65" w:type="dxa"/>
              <w:bottom w:w="65" w:type="dxa"/>
              <w:end w:w="65" w:type="dxa"/>
            </w:tcMar>
            <w:vAlign w:val="center"/>
            <w:shd w:fill="EEF3F8"/>
            <w:tcW w:type="dxa" w:w="3168"/>
          </w:tcPr>
          <w:p>
            <w:pPr>
              <w:spacing w:after="40" w:line="240" w:lineRule="auto" w:before="0"/>
              <w:jc w:val="left"/>
            </w:pPr>
            <w:r>
              <w:rPr>
                <w:rFonts w:ascii="Carlito" w:hAnsi="Carlito" w:eastAsia="Carlito"/>
                <w:b w:val="0"/>
                <w:color w:val="000000"/>
                <w:sz w:val="16"/>
              </w:rPr>
              <w:t xml:space="preserve">Запрет выполнять официальную функцию на срок.</w:t>
            </w:r>
          </w:p>
        </w:tc>
      </w:tr>
      <w:tr>
        <w:trPr>
          <w:cantSplit/>
        </w:trPr>
        <w:tc>
          <w:tcPr>
            <w:tcMar>
              <w:top w:w="65" w:type="dxa"/>
              <w:start w:w="65" w:type="dxa"/>
              <w:bottom w:w="65" w:type="dxa"/>
              <w:end w:w="65" w:type="dxa"/>
            </w:tcMar>
            <w:vAlign w:val="center"/>
            <w:tcW w:type="dxa" w:w="2952"/>
          </w:tcPr>
          <w:p>
            <w:pPr>
              <w:spacing w:after="40" w:line="240" w:lineRule="auto" w:before="0"/>
              <w:jc w:val="left"/>
            </w:pPr>
            <w:r>
              <w:rPr>
                <w:rFonts w:ascii="Carlito" w:hAnsi="Carlito" w:eastAsia="Carlito"/>
                <w:b w:val="0"/>
                <w:color w:val="000000"/>
                <w:sz w:val="16"/>
              </w:rPr>
              <w:t xml:space="preserve">Подкуп, принуждение, фальсификация или незаконные данные</w:t>
            </w:r>
          </w:p>
        </w:tc>
        <w:tc>
          <w:tcPr>
            <w:tcMar>
              <w:top w:w="65" w:type="dxa"/>
              <w:start w:w="65" w:type="dxa"/>
              <w:bottom w:w="65" w:type="dxa"/>
              <w:end w:w="65" w:type="dxa"/>
            </w:tcMar>
            <w:vAlign w:val="center"/>
            <w:tcW w:type="dxa" w:w="3960"/>
          </w:tcPr>
          <w:p>
            <w:pPr>
              <w:spacing w:after="40" w:line="240" w:lineRule="auto" w:before="0"/>
              <w:jc w:val="left"/>
            </w:pPr>
            <w:r>
              <w:rPr>
                <w:rFonts w:ascii="Carlito" w:hAnsi="Carlito" w:eastAsia="Carlito"/>
                <w:b w:val="0"/>
                <w:color w:val="000000"/>
                <w:sz w:val="16"/>
              </w:rPr>
              <w:t xml:space="preserve">Немедленное прекращение поведения, расследование по обычному праву.</w:t>
            </w:r>
          </w:p>
        </w:tc>
        <w:tc>
          <w:tcPr>
            <w:tcMar>
              <w:top w:w="65" w:type="dxa"/>
              <w:start w:w="65" w:type="dxa"/>
              <w:bottom w:w="65" w:type="dxa"/>
              <w:end w:w="65" w:type="dxa"/>
            </w:tcMar>
            <w:vAlign w:val="center"/>
            <w:tcW w:type="dxa" w:w="3168"/>
          </w:tcPr>
          <w:p>
            <w:pPr>
              <w:spacing w:after="40" w:line="240" w:lineRule="auto" w:before="0"/>
              <w:jc w:val="left"/>
            </w:pPr>
            <w:r>
              <w:rPr>
                <w:rFonts w:ascii="Carlito" w:hAnsi="Carlito" w:eastAsia="Carlito"/>
                <w:b w:val="0"/>
                <w:color w:val="000000"/>
                <w:sz w:val="16"/>
              </w:rPr>
              <w:t xml:space="preserve">Повтор стадии, возмещение ущерба, уголовная или иная ответственность.</w:t>
            </w:r>
          </w:p>
        </w:tc>
      </w:tr>
      <w:tr>
        <w:trPr>
          <w:cantSplit/>
        </w:trPr>
        <w:tc>
          <w:tcPr>
            <w:tcMar>
              <w:top w:w="65" w:type="dxa"/>
              <w:start w:w="65" w:type="dxa"/>
              <w:bottom w:w="65" w:type="dxa"/>
              <w:end w:w="65" w:type="dxa"/>
            </w:tcMar>
            <w:vAlign w:val="center"/>
            <w:shd w:fill="EEF3F8"/>
            <w:tcW w:type="dxa" w:w="2952"/>
          </w:tcPr>
          <w:p>
            <w:pPr>
              <w:spacing w:after="40" w:line="240" w:lineRule="auto" w:before="0"/>
              <w:jc w:val="left"/>
            </w:pPr>
            <w:r>
              <w:rPr>
                <w:rFonts w:ascii="Carlito" w:hAnsi="Carlito" w:eastAsia="Carlito"/>
                <w:b w:val="0"/>
                <w:color w:val="000000"/>
                <w:sz w:val="16"/>
              </w:rPr>
              <w:t xml:space="preserve">Государственный астротурфинг</w:t>
            </w:r>
          </w:p>
        </w:tc>
        <w:tc>
          <w:tcPr>
            <w:tcMar>
              <w:top w:w="65" w:type="dxa"/>
              <w:start w:w="65" w:type="dxa"/>
              <w:bottom w:w="65" w:type="dxa"/>
              <w:end w:w="65" w:type="dxa"/>
            </w:tcMar>
            <w:vAlign w:val="center"/>
            <w:shd w:fill="EEF3F8"/>
            <w:tcW w:type="dxa" w:w="3960"/>
          </w:tcPr>
          <w:p>
            <w:pPr>
              <w:spacing w:after="40" w:line="240" w:lineRule="auto" w:before="0"/>
              <w:jc w:val="left"/>
            </w:pPr>
            <w:r>
              <w:rPr>
                <w:rFonts w:ascii="Carlito" w:hAnsi="Carlito" w:eastAsia="Carlito"/>
                <w:b w:val="0"/>
                <w:color w:val="000000"/>
                <w:sz w:val="16"/>
              </w:rPr>
              <w:t xml:space="preserve">Отделение инициативы от низового канала, раскрытие, дисциплинарная ответственность.</w:t>
            </w:r>
          </w:p>
        </w:tc>
        <w:tc>
          <w:tcPr>
            <w:tcMar>
              <w:top w:w="65" w:type="dxa"/>
              <w:start w:w="65" w:type="dxa"/>
              <w:bottom w:w="65" w:type="dxa"/>
              <w:end w:w="65" w:type="dxa"/>
            </w:tcMar>
            <w:vAlign w:val="center"/>
            <w:shd w:fill="EEF3F8"/>
            <w:tcW w:type="dxa" w:w="3168"/>
          </w:tcPr>
          <w:p>
            <w:pPr>
              <w:spacing w:after="40" w:line="240" w:lineRule="auto" w:before="0"/>
              <w:jc w:val="left"/>
            </w:pPr>
            <w:r>
              <w:rPr>
                <w:rFonts w:ascii="Carlito" w:hAnsi="Carlito" w:eastAsia="Carlito"/>
                <w:b w:val="0"/>
                <w:color w:val="000000"/>
                <w:sz w:val="16"/>
              </w:rPr>
              <w:t xml:space="preserve">Повтор процедуры без административного ресурса.</w:t>
            </w:r>
          </w:p>
        </w:tc>
      </w:tr>
      <w:tr>
        <w:trPr>
          <w:cantSplit/>
        </w:trPr>
        <w:tc>
          <w:tcPr>
            <w:tcMar>
              <w:top w:w="65" w:type="dxa"/>
              <w:start w:w="65" w:type="dxa"/>
              <w:bottom w:w="65" w:type="dxa"/>
              <w:end w:w="65" w:type="dxa"/>
            </w:tcMar>
            <w:vAlign w:val="center"/>
            <w:tcW w:type="dxa" w:w="2952"/>
          </w:tcPr>
          <w:p>
            <w:pPr>
              <w:spacing w:after="40" w:line="240" w:lineRule="auto" w:before="0"/>
              <w:jc w:val="left"/>
            </w:pPr>
            <w:r>
              <w:rPr>
                <w:rFonts w:ascii="Carlito" w:hAnsi="Carlito" w:eastAsia="Carlito"/>
                <w:b w:val="0"/>
                <w:color w:val="000000"/>
                <w:sz w:val="16"/>
              </w:rPr>
              <w:t xml:space="preserve">Селективное применение правил</w:t>
            </w:r>
          </w:p>
        </w:tc>
        <w:tc>
          <w:tcPr>
            <w:tcMar>
              <w:top w:w="65" w:type="dxa"/>
              <w:start w:w="65" w:type="dxa"/>
              <w:bottom w:w="65" w:type="dxa"/>
              <w:end w:w="65" w:type="dxa"/>
            </w:tcMar>
            <w:vAlign w:val="center"/>
            <w:tcW w:type="dxa" w:w="3960"/>
          </w:tcPr>
          <w:p>
            <w:pPr>
              <w:spacing w:after="40" w:line="240" w:lineRule="auto" w:before="0"/>
              <w:jc w:val="left"/>
            </w:pPr>
            <w:r>
              <w:rPr>
                <w:rFonts w:ascii="Carlito" w:hAnsi="Carlito" w:eastAsia="Carlito"/>
                <w:b w:val="0"/>
                <w:color w:val="000000"/>
                <w:sz w:val="16"/>
              </w:rPr>
              <w:t xml:space="preserve">Отмена решения, независимая проверка, восстановление равного положения.</w:t>
            </w:r>
          </w:p>
        </w:tc>
        <w:tc>
          <w:tcPr>
            <w:tcMar>
              <w:top w:w="65" w:type="dxa"/>
              <w:start w:w="65" w:type="dxa"/>
              <w:bottom w:w="65" w:type="dxa"/>
              <w:end w:w="65" w:type="dxa"/>
            </w:tcMar>
            <w:vAlign w:val="center"/>
            <w:tcW w:type="dxa" w:w="3168"/>
          </w:tcPr>
          <w:p>
            <w:pPr>
              <w:spacing w:after="40" w:line="240" w:lineRule="auto" w:before="0"/>
              <w:jc w:val="left"/>
            </w:pPr>
            <w:r>
              <w:rPr>
                <w:rFonts w:ascii="Carlito" w:hAnsi="Carlito" w:eastAsia="Carlito"/>
                <w:b w:val="0"/>
                <w:color w:val="000000"/>
                <w:sz w:val="16"/>
              </w:rPr>
              <w:t xml:space="preserve">Ответственность должностного лица.</w:t>
            </w:r>
          </w:p>
        </w:tc>
      </w:tr>
    </w:tbl>
    <w:p>
      <w:pPr>
        <w:pStyle w:val="BodyText"/>
        <w:widowControl/>
      </w:pPr>
      <w:r>
        <w:rPr>
          <w:rFonts w:ascii="Carlito" w:hAnsi="Carlito" w:eastAsia="Carlito"/>
        </w:rPr>
        <w:t xml:space="preserve">Санкция зависит от умысла, материальности, повторности, масштаба преимущества и возможности восстановить свободное волеизъявление. Политическая позиция не является отягчающим обстоятельством.</w:t>
      </w:r>
    </w:p>
    <w:bookmarkEnd w:id="123"/>
    <w:bookmarkStart w:id="124" w:name="сохранение-гражданской-воли"/>
    <w:p>
      <w:pPr>
        <w:pStyle w:val="Heading2"/>
        <w:keepNext/>
        <w:keepLines/>
        <w:widowControl/>
        <w:spacing w:before="160" w:after="100"/>
      </w:pPr>
      <w:r>
        <w:rPr>
          <w:rFonts w:ascii="Carlito" w:hAnsi="Carlito" w:eastAsia="Carlito"/>
        </w:rPr>
        <w:t xml:space="preserve">25. Сохранение гражданской воли</w:t>
      </w:r>
    </w:p>
    <w:p>
      <w:pPr>
        <w:pStyle w:val="FirstParagraph"/>
        <w:widowControl/>
        <w:spacing w:line="259" w:lineRule="auto" w:after="90"/>
        <w:ind w:firstLine="360"/>
      </w:pPr>
      <w:r>
        <w:rPr>
          <w:rFonts w:ascii="Carlito" w:hAnsi="Carlito" w:eastAsia="Carlito"/>
        </w:rPr>
        <w:t xml:space="preserve">Нарушение посредника, донора, эксперта или оператора не аннулирует автоматически инициативу и действия добросовестных граждан. Сначала применяются раскрытие, удаление незаконного преимущества, замена заинтересованного лица, повторное подтверждение или повтор стадии. Полное исключение допускается, когда нарушение необратимо исказило свободное волеизъявление и менее ограничительная мера недостаточна.</w:t>
      </w:r>
    </w:p>
    <w:bookmarkEnd w:id="124"/>
    <w:bookmarkStart w:id="125" w:name="реестр-влияния-и-защита-данных"/>
    <w:p>
      <w:pPr>
        <w:pStyle w:val="Heading2"/>
        <w:keepNext/>
        <w:keepLines/>
        <w:widowControl/>
        <w:spacing w:before="160" w:after="100"/>
      </w:pPr>
      <w:r>
        <w:rPr>
          <w:rFonts w:ascii="Carlito" w:hAnsi="Carlito" w:eastAsia="Carlito"/>
        </w:rPr>
        <w:t xml:space="preserve">26. Реестр влияния и защита данных</w:t>
      </w:r>
    </w:p>
    <w:p>
      <w:pPr>
        <w:pStyle w:val="FirstParagraph"/>
        <w:widowControl/>
        <w:spacing w:line="259" w:lineRule="auto" w:after="90"/>
        <w:ind w:firstLine="360"/>
      </w:pPr>
      <w:r>
        <w:rPr>
          <w:rFonts w:ascii="Carlito" w:hAnsi="Carlito" w:eastAsia="Carlito"/>
        </w:rPr>
        <w:t xml:space="preserve">Реестр хранит сведения о профессиональных представителях, крупных расходах, бенефициарах и существенных контактах. Он не включает историю поддержки, обсуждений и голосов рядового гражданина. Данные не используются для налоговых, трудовых, социальных, правоохранительных или рекламных решений вне расследования конкретного правонарушения по судебной процедуре.</w:t>
      </w:r>
    </w:p>
    <w:p>
      <w:pPr>
        <w:pStyle w:val="BodyText"/>
        <w:widowControl/>
      </w:pPr>
      <w:r>
        <w:rPr>
          <w:rFonts w:ascii="Carlito" w:hAnsi="Carlito" w:eastAsia="Carlito"/>
        </w:rPr>
        <w:t xml:space="preserve">Сроки хранения устанавливаются законом и различаются для финансовой отчётности, закупок, конфликтов и политических действий. Данные не объединяются в единый аналитический профиль.</w:t>
      </w:r>
    </w:p>
    <w:bookmarkEnd w:id="125"/>
    <w:bookmarkStart w:id="126" w:name="одновременный-захват-институтов"/>
    <w:p>
      <w:pPr>
        <w:pStyle w:val="Heading2"/>
        <w:keepNext/>
        <w:keepLines/>
        <w:widowControl/>
        <w:spacing w:before="160" w:after="100"/>
      </w:pPr>
      <w:r>
        <w:rPr>
          <w:rFonts w:ascii="Carlito" w:hAnsi="Carlito" w:eastAsia="Carlito"/>
        </w:rPr>
        <w:t xml:space="preserve">27. Одновременный захват институтов</w:t>
      </w:r>
    </w:p>
    <w:p>
      <w:pPr>
        <w:pStyle w:val="FirstParagraph"/>
        <w:widowControl/>
        <w:spacing w:line="259" w:lineRule="auto" w:after="90"/>
        <w:ind w:firstLine="360"/>
      </w:pPr>
      <w:r>
        <w:rPr>
          <w:rFonts w:ascii="Carlito" w:hAnsi="Carlito" w:eastAsia="Carlito"/>
        </w:rPr>
        <w:t xml:space="preserve">При угрозе системного захвата особое значение имеют минимизация данных, неизменяемый публичный след, распределение технических ключей, внешний аудит, множественные поставщики, возможность общественной репликации расчётов и автоматические запреты, не требующие дискреционного решения захваченного органа.</w:t>
      </w:r>
    </w:p>
    <w:p>
      <w:pPr>
        <w:pStyle w:val="BodyText"/>
        <w:widowControl/>
      </w:pPr>
      <w:r>
        <w:rPr>
          <w:rFonts w:ascii="Carlito" w:hAnsi="Carlito" w:eastAsia="Carlito"/>
        </w:rPr>
        <w:t xml:space="preserve">Полностью исключить захват всей конституционной системы одной отраслевой главой невозможно. Этот остаточный риск признаётся и ограничивается тем, что механизм не собирает больше чувствительных данных и не создаёт больше централизованной власти, чем необходимо.</w:t>
      </w:r>
    </w:p>
    <w:bookmarkEnd w:id="126"/>
    <w:bookmarkStart w:id="127" w:name="Xfe54d7b2e87dd69d286be0d20219854dc53f7ce"/>
    <w:p>
      <w:pPr>
        <w:pStyle w:val="Heading2"/>
        <w:keepNext/>
        <w:keepLines/>
        <w:widowControl/>
        <w:spacing w:before="160" w:after="100"/>
      </w:pPr>
      <w:r>
        <w:rPr>
          <w:rFonts w:ascii="Carlito" w:hAnsi="Carlito" w:eastAsia="Carlito"/>
        </w:rPr>
        <w:t xml:space="preserve">28. Наиболее сильные возражения и встроенные ответы</w:t>
      </w:r>
    </w:p>
    <w:p>
      <w:pPr>
        <w:pStyle w:val="FirstParagraph"/>
        <w:widowControl/>
        <w:spacing w:line="259" w:lineRule="auto" w:after="90"/>
        <w:ind w:firstLine="360"/>
      </w:pPr>
      <w:r>
        <w:rPr>
          <w:rFonts w:ascii="Carlito" w:hAnsi="Carlito" w:eastAsia="Carlito"/>
        </w:rPr>
        <w:t xml:space="preserve">Возражение о том, что раскрытие уничтожит анонимное участие, закрывается фокусом на существенном профессиональном влиянии и агрегацией малых пожертвований. Возражение о селективном преследовании — нейтральными порогами, опубликованной практикой и судом. Возражение о фиктивной декларации конфликта — обязательным отводом и альтернативной экспертизой. Риск астротурфинга ограничивается паспортом происхождения и запретом государственного маскирования.</w:t>
      </w:r>
    </w:p>
    <w:bookmarkEnd w:id="127"/>
    <w:bookmarkStart w:id="128" w:name="связь-с-другими-главами-и-вывод-1"/>
    <w:p>
      <w:pPr>
        <w:pStyle w:val="Heading2"/>
        <w:keepNext/>
        <w:keepLines/>
        <w:widowControl/>
        <w:spacing w:before="160" w:after="100"/>
      </w:pPr>
      <w:r>
        <w:rPr>
          <w:rFonts w:ascii="Carlito" w:hAnsi="Carlito" w:eastAsia="Carlito"/>
        </w:rPr>
        <w:t xml:space="preserve">29. Связь с другими главами и вывод</w:t>
      </w:r>
    </w:p>
    <w:p>
      <w:pPr>
        <w:pStyle w:val="FirstParagraph"/>
        <w:widowControl/>
        <w:spacing w:line="259" w:lineRule="auto" w:after="90"/>
        <w:ind w:firstLine="360"/>
      </w:pPr>
      <w:r>
        <w:rPr>
          <w:rFonts w:ascii="Carlito" w:hAnsi="Carlito" w:eastAsia="Carlito"/>
        </w:rPr>
        <w:t xml:space="preserve">Настоящая глава применяется совместно с правилами редактирования, экспертизы, обсуждения, финансирования, дезинформации, кибербезопасности и данных. Она не создаёт орган политической истины и не оценивает правильность интереса. Её предмет — происхождение, способ и материальность влияния, конфликт публичной функции и частного интереса, а также восстановление равного процесса.</w:t>
      </w:r>
    </w:p>
    <w:bookmarkEnd w:id="128"/>
    <w:bookmarkEnd w:id="129"/>
    <w:bookmarkStart w:id="135" w:name="сквозная-гармонизация-глав-xxxixxxiv"/>
    <w:p>
      <w:pPr>
        <w:pStyle w:val="Heading1"/>
        <w:keepNext/>
        <w:keepLines/>
        <w:pageBreakBefore/>
        <w:widowControl/>
        <w:spacing w:before="0" w:after="160"/>
        <w:pBdr>
          <w:bottom w:val="single" w:sz="5" w:space="4" w:color="B4C6E7"/>
        </w:pBdr>
      </w:pPr>
      <w:r>
        <w:t>Глава XXXV. Информационная целостность, происхождение политической коммуникации и защита общественного обсуждения</w:t>
      </w:r>
    </w:p>
    <w:p>
      <w:pPr>
        <w:pStyle w:val="Heading2"/>
        <w:keepNext/>
        <w:keepLines/>
        <w:widowControl/>
      </w:pPr>
      <w:r>
        <w:t>1. Предмет и цель главы</w:t>
      </w:r>
    </w:p>
    <w:p>
      <w:pPr>
        <w:widowControl/>
        <w:spacing w:after="80" w:line="252" w:lineRule="auto"/>
        <w:jc w:val="both"/>
      </w:pPr>
      <w:r>
        <w:t>Настоящая глава устанавливает пределы и процедуры защиты общественного обсуждения от подделки официальной процедуры, скрытого заказчика, нераскрытой политической рекламы, незаконного использования данных, синтетического олицетворения, координированной неаутентичной активности и иных способов обмана, которые искажают не мнение гражданина, а условия формирования и выражения политической воли.</w:t>
      </w:r>
    </w:p>
    <w:p>
      <w:pPr>
        <w:widowControl/>
        <w:spacing w:after="80" w:line="252" w:lineRule="auto"/>
        <w:jc w:val="both"/>
      </w:pPr>
      <w:r>
        <w:t>Цель главы состоит не в установлении официальной политической истины. Её цель — обеспечить проверяемое происхождение значимой коммуникации, подлинность официальных материалов, право на ответ и равенство информационных условий при максимальном сохранении свободы выражения.</w:t>
      </w:r>
    </w:p>
    <w:p>
      <w:pPr>
        <w:pStyle w:val="Heading2"/>
        <w:keepNext/>
        <w:keepLines/>
        <w:widowControl/>
      </w:pPr>
      <w:r>
        <w:t>2. Ключевой принцип</w:t>
      </w:r>
    </w:p>
    <w:p>
      <w:pPr>
        <w:widowControl/>
        <w:spacing w:after="80" w:line="252" w:lineRule="auto"/>
        <w:jc w:val="both"/>
      </w:pPr>
      <w:r>
        <w:t>Государство и органы Доктрины вправе защищать подлинность процедуры и прозрачность профессионального влияния, но не вправе присваивать себе монополию на определение истинности политических оценок, прогнозов, ценностных суждений и спорных интерпретаций.</w:t>
      </w:r>
    </w:p>
    <w:p>
      <w:pPr>
        <w:widowControl/>
        <w:spacing w:after="80" w:line="252" w:lineRule="auto"/>
        <w:jc w:val="both"/>
      </w:pPr>
      <w:r>
        <w:t>Любое ограничение политической коммуникации допускается только при наличии прямо установленного состава, доказуемого вреда процедуре, необходимости, соразмерности, ограниченного срока, мотивированного решения и эффективного обжалования.</w:t>
      </w:r>
    </w:p>
    <w:p>
      <w:pPr>
        <w:pStyle w:val="Heading2"/>
        <w:keepNext/>
        <w:keepLines/>
        <w:widowControl/>
      </w:pPr>
      <w:r>
        <w:t>3. Основные определения</w:t>
      </w:r>
    </w:p>
    <w:tbl>
      <w:tblPr>
        <w:tblW w:type="auto" w:w="0"/>
        <w:jc w:val="center"/>
        <w:tblLook w:firstColumn="1" w:firstRow="1" w:lastColumn="0" w:lastRow="0" w:noHBand="0" w:noVBand="1" w:val="04A0"/>
      </w:tblPr>
      <w:tblGrid>
        <w:gridCol w:w="4916"/>
        <w:gridCol w:w="4916"/>
      </w:tblGrid>
      <w:tr>
        <w:trPr>
          <w:tblHeader w:val="true"/>
          <w:tblHeader w:val="true"/>
          <w:tblHeader w:val="true"/>
          <w:cantSplit/>
        </w:trPr>
        <w:tc>
          <w:tcPr>
            <w:tcW w:type="dxa" w:w="159"/>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Термин</w:t>
            </w:r>
          </w:p>
        </w:tc>
        <w:tc>
          <w:tcPr>
            <w:tcW w:type="dxa" w:w="408"/>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Определение</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Информационная целостность</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Состояние, при котором происхождение официальной и профессионально оплаченной коммуникации проверяемо, официальные материалы подлинны, а гражданин может отличить сообщение участника от скрытой автоматизации, подделки или нераскрытого заказчика.</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Официальная процедурная информация</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Сведения о сроках, каналах, правилах, местах, правах, способах подачи инициативы, поддержки, голосования, обжалования и установления результата, публикуемые уполномоченным субъектом.</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Политическое мнение</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Ценностная позиция, оценка, призыв, интерпретация или предпочтение, истинность которого не может быть окончательно установлена государственным органом.</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Фактическое утверждение</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Проверяемое сообщение о существующем или произошедшем обстоятельстве, допускающее подтверждение или опровержение надлежащими источниками.</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Прогноз или модель</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Условное суждение о будущем либо причинной связи, зависящее от допущений, данных и методики и не подлежащее официальной квалификации как политически истинное или ложное.</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Происхождение коммуникации</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Сведения о заказчике, плательщике, профессиональном производителе, использованных автоматизированных средствах и существенной координации распространения.</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Синтетическое олицетворение</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Созданное или изменённое техническими средствами изображение, голос, видео либо сообщение, способное обоснованно создать впечатление, что реальное лицо совершило действие или сделало заявление, которых не было.</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Скрытая политическая реклама</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Оплаченное либо предоставленное как встречная услуга сообщение, направленное на политическое влияние, в котором не раскрыты заказчик и существенный источник финансирования.</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Координированная неаутентичная активность</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Организованное использование ложных идентичностей, автоматизированных аккаунтов или сокрытой сети для имитации независимой массовой поддержки.</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Ложная процедурная инструкция</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Заведомо неверное сообщение о порядке участия, способное воспрепятствовать осуществлению политического права или направить гражданина на поддельный ресурс.</w:t>
            </w:r>
          </w:p>
        </w:tc>
      </w:tr>
    </w:tbl>
    <w:p>
      <w:pPr>
        <w:widowControl/>
        <w:spacing w:after="80" w:line="252" w:lineRule="auto"/>
      </w:pPr>
    </w:p>
    <w:p>
      <w:pPr>
        <w:pStyle w:val="Heading2"/>
        <w:keepNext/>
        <w:keepLines/>
        <w:widowControl/>
      </w:pPr>
      <w:r>
        <w:t>4. Иерархия охраняемых ценностей</w:t>
      </w:r>
    </w:p>
    <w:p>
      <w:pPr>
        <w:widowControl/>
        <w:spacing w:after="80" w:line="252" w:lineRule="auto"/>
        <w:jc w:val="both"/>
      </w:pPr>
      <w:r>
        <w:t>При конфликте норм настоящей главы применяется следующая последовательность:</w:t>
      </w:r>
    </w:p>
    <w:p>
      <w:pPr>
        <w:pStyle w:val="ListBullet"/>
        <w:spacing w:after="40" w:line="240" w:lineRule="auto"/>
        <w:widowControl/>
      </w:pPr>
      <w:r>
        <w:t>неотчуждаемые права, достоинство, свобода политического выражения и равенство участия;</w:t>
      </w:r>
    </w:p>
    <w:p>
      <w:pPr>
        <w:pStyle w:val="ListBullet"/>
        <w:spacing w:after="40" w:line="240" w:lineRule="auto"/>
        <w:widowControl/>
      </w:pPr>
      <w:r>
        <w:t>тайна политического участия и защита от государственного либо коммерческого профилирования;</w:t>
      </w:r>
    </w:p>
    <w:p>
      <w:pPr>
        <w:pStyle w:val="ListBullet"/>
        <w:spacing w:after="40" w:line="240" w:lineRule="auto"/>
        <w:widowControl/>
      </w:pPr>
      <w:r>
        <w:t>подлинность официальной процедуры и возможность гражданина свободно сформировать мнение;</w:t>
      </w:r>
    </w:p>
    <w:p>
      <w:pPr>
        <w:pStyle w:val="ListBullet"/>
        <w:spacing w:after="40" w:line="240" w:lineRule="auto"/>
        <w:widowControl/>
      </w:pPr>
      <w:r>
        <w:t>прозрачность профессионального и крупного оплаченного влияния;</w:t>
      </w:r>
    </w:p>
    <w:p>
      <w:pPr>
        <w:pStyle w:val="ListBullet"/>
        <w:spacing w:after="40" w:line="240" w:lineRule="auto"/>
        <w:widowControl/>
      </w:pPr>
      <w:r>
        <w:t>оперативность реагирования и административное удобство.</w:t>
      </w:r>
    </w:p>
    <w:p>
      <w:pPr>
        <w:widowControl/>
        <w:spacing w:after="80" w:line="252" w:lineRule="auto"/>
        <w:jc w:val="both"/>
      </w:pPr>
      <w:r>
        <w:t>Оперативность, репутационный риск государства, политическая острота критики или неудобство для участника не являются самостоятельными основаниями ограничения.</w:t>
      </w:r>
    </w:p>
    <w:p>
      <w:pPr>
        <w:pStyle w:val="Heading2"/>
        <w:keepNext/>
        <w:keepLines/>
        <w:widowControl/>
      </w:pPr>
      <w:r>
        <w:t>5. Защищённая политическая речь</w:t>
      </w:r>
    </w:p>
    <w:p>
      <w:pPr>
        <w:widowControl/>
        <w:spacing w:after="80" w:line="252" w:lineRule="auto"/>
        <w:jc w:val="both"/>
      </w:pPr>
      <w:r>
        <w:t>Не подлежат санкциям и принудительной официальной квалификации сами по себе:</w:t>
      </w:r>
    </w:p>
    <w:p>
      <w:pPr>
        <w:pStyle w:val="ListBullet"/>
        <w:spacing w:after="40" w:line="240" w:lineRule="auto"/>
        <w:widowControl/>
      </w:pPr>
      <w:r>
        <w:t>политические мнения, идеологические позиции и ценностные суждения;</w:t>
      </w:r>
    </w:p>
    <w:p>
      <w:pPr>
        <w:pStyle w:val="ListBullet"/>
        <w:spacing w:after="40" w:line="240" w:lineRule="auto"/>
        <w:widowControl/>
      </w:pPr>
      <w:r>
        <w:t>прогнозы, сценарии и экономические модели при раскрытии существенных допущений там, где они представлены как экспертные;</w:t>
      </w:r>
    </w:p>
    <w:p>
      <w:pPr>
        <w:pStyle w:val="ListBullet"/>
        <w:spacing w:after="40" w:line="240" w:lineRule="auto"/>
        <w:widowControl/>
      </w:pPr>
      <w:r>
        <w:t>добросовестная ошибка, позднее исправленная самим автором;</w:t>
      </w:r>
    </w:p>
    <w:p>
      <w:pPr>
        <w:pStyle w:val="ListBullet"/>
        <w:spacing w:after="40" w:line="240" w:lineRule="auto"/>
        <w:widowControl/>
      </w:pPr>
      <w:r>
        <w:t>резкая критика, преувеличение, полемика, пародия и сатира, если они не подделывают официальный документ или личность;</w:t>
      </w:r>
    </w:p>
    <w:p>
      <w:pPr>
        <w:pStyle w:val="ListBullet"/>
        <w:spacing w:after="40" w:line="240" w:lineRule="auto"/>
        <w:widowControl/>
      </w:pPr>
      <w:r>
        <w:t>научное и профессиональное разногласие;</w:t>
      </w:r>
    </w:p>
    <w:p>
      <w:pPr>
        <w:pStyle w:val="ListBullet"/>
        <w:spacing w:after="40" w:line="240" w:lineRule="auto"/>
        <w:widowControl/>
      </w:pPr>
      <w:r>
        <w:t>анонимная и псевдонимная речь обычного гражданина, если она не используется для сокрытия профессиональной кампании, финансирования или преступления.</w:t>
      </w:r>
    </w:p>
    <w:p>
      <w:pPr>
        <w:pStyle w:val="Heading2"/>
        <w:keepNext/>
        <w:keepLines/>
        <w:widowControl/>
      </w:pPr>
      <w:r>
        <w:t>6. Запрет государственного органа политической истины</w:t>
      </w:r>
    </w:p>
    <w:p>
      <w:pPr>
        <w:widowControl/>
        <w:spacing w:after="80" w:line="252" w:lineRule="auto"/>
        <w:jc w:val="both"/>
      </w:pPr>
      <w:r>
        <w:t>Не допускается создание органа, реестра или обязательной шкалы, которые присваивают политическим высказываниям общий официальный статус «истина», «ложь», «дезинформация», «правильная интерпретация» или аналогичный статус, способный ограничить распространение либо придать одной позиции государственное преимущество.</w:t>
      </w:r>
    </w:p>
    <w:p>
      <w:pPr>
        <w:widowControl/>
        <w:spacing w:after="80" w:line="252" w:lineRule="auto"/>
        <w:jc w:val="both"/>
      </w:pPr>
      <w:r>
        <w:t>Официальный субъект может исправлять только собственные данные, подтверждать подлинность официального документа, публиковать первичные источники и сообщать о наличии судебно установленного факта. Он обязан отделять это от оценки политического смысла.</w:t>
      </w:r>
    </w:p>
    <w:p>
      <w:pPr>
        <w:pStyle w:val="Heading2"/>
        <w:keepNext/>
        <w:keepLines/>
        <w:widowControl/>
      </w:pPr>
      <w:r>
        <w:t>7. Закрытый перечень оснований официального вмешательства</w:t>
      </w:r>
    </w:p>
    <w:p>
      <w:pPr>
        <w:widowControl/>
        <w:spacing w:after="80" w:line="252" w:lineRule="auto"/>
        <w:jc w:val="both"/>
      </w:pPr>
      <w:r>
        <w:t>В пределах цикла общественного поручения обязательная мера допускается только в отношении:</w:t>
      </w:r>
    </w:p>
    <w:p>
      <w:pPr>
        <w:pStyle w:val="ListBullet"/>
        <w:spacing w:after="40" w:line="240" w:lineRule="auto"/>
        <w:widowControl/>
      </w:pPr>
      <w:r>
        <w:t>поддельного официального документа, сайта, бюллетеня, подписи, печати, идентификатора или сообщения оператора;</w:t>
      </w:r>
    </w:p>
    <w:p>
      <w:pPr>
        <w:pStyle w:val="ListBullet"/>
        <w:spacing w:after="40" w:line="240" w:lineRule="auto"/>
        <w:widowControl/>
      </w:pPr>
      <w:r>
        <w:t>ложной процедурной инструкции, создающей реальный риск лишения гражданина возможности участвовать;</w:t>
      </w:r>
    </w:p>
    <w:p>
      <w:pPr>
        <w:pStyle w:val="ListBullet"/>
        <w:spacing w:after="40" w:line="240" w:lineRule="auto"/>
        <w:widowControl/>
      </w:pPr>
      <w:r>
        <w:t>синтетического олицетворения без надлежащей маркировки, если оно способно ввести разумного адресата в заблуждение относительно подлинного заявления или действия;</w:t>
      </w:r>
    </w:p>
    <w:p>
      <w:pPr>
        <w:pStyle w:val="ListBullet"/>
        <w:spacing w:after="40" w:line="240" w:lineRule="auto"/>
        <w:widowControl/>
      </w:pPr>
      <w:r>
        <w:t>нераскрытой политической рекламы либо скрытого существенного заказчика;</w:t>
      </w:r>
    </w:p>
    <w:p>
      <w:pPr>
        <w:pStyle w:val="ListBullet"/>
        <w:spacing w:after="40" w:line="240" w:lineRule="auto"/>
        <w:widowControl/>
      </w:pPr>
      <w:r>
        <w:t>координированной неаутентичной активности, доказанной по поведению и организации, а не по содержанию позиции;</w:t>
      </w:r>
    </w:p>
    <w:p>
      <w:pPr>
        <w:pStyle w:val="ListBullet"/>
        <w:spacing w:after="40" w:line="240" w:lineRule="auto"/>
        <w:widowControl/>
      </w:pPr>
      <w:r>
        <w:t>незаконного получения, изменения, уничтожения или распространения защищённых данных;</w:t>
      </w:r>
    </w:p>
    <w:p>
      <w:pPr>
        <w:pStyle w:val="ListBullet"/>
        <w:spacing w:after="40" w:line="240" w:lineRule="auto"/>
        <w:widowControl/>
      </w:pPr>
      <w:r>
        <w:t>прямого мошенничества, угрозы, принуждения, покупки политического действия или вмешательства в подсчёт;</w:t>
      </w:r>
    </w:p>
    <w:p>
      <w:pPr>
        <w:pStyle w:val="ListBullet"/>
        <w:spacing w:after="40" w:line="240" w:lineRule="auto"/>
        <w:widowControl/>
      </w:pPr>
      <w:r>
        <w:t>ложного представления себя уполномоченным органом или должностным лицом.</w:t>
      </w:r>
    </w:p>
    <w:p>
      <w:pPr>
        <w:widowControl/>
        <w:spacing w:after="80" w:line="252" w:lineRule="auto"/>
        <w:jc w:val="both"/>
      </w:pPr>
      <w:r>
        <w:t>Перечень является исчерпывающим для внесудебных мер в рамках Доктрины. Иные ограничения возможны только по общему закону, совместимому с правами человека и не созданному специально для подавления конкретной позиции.</w:t>
      </w:r>
    </w:p>
    <w:p>
      <w:pPr>
        <w:widowControl/>
      </w:pPr>
      <w:r>
        <w:t>Официальное исправление ограничивается проверяемыми сведениями о тексте, результате, правовом статусе и источнике. Политические выводы, метафоры, прогнозы и спорные интерпретации не получают официальной маркировки истинности или ложности.</w:t>
      </w:r>
    </w:p>
    <w:p>
      <w:pPr>
        <w:pStyle w:val="Heading2"/>
        <w:keepNext/>
        <w:keepLines/>
        <w:widowControl/>
      </w:pPr>
      <w:r>
        <w:t>8. Официальная процедурная информация</w:t>
      </w:r>
    </w:p>
    <w:p>
      <w:pPr>
        <w:widowControl/>
        <w:spacing w:after="80" w:line="252" w:lineRule="auto"/>
        <w:jc w:val="both"/>
      </w:pPr>
      <w:r>
        <w:t>Все официальные инструкции публикуются через заранее зарегистрированные каналы, снабжаются устойчивым идентификатором, отметкой времени, цифровой подписью либо иным публично проверяемым доказательством происхождения.</w:t>
      </w:r>
    </w:p>
    <w:p>
      <w:pPr>
        <w:widowControl/>
        <w:spacing w:after="80" w:line="252" w:lineRule="auto"/>
        <w:jc w:val="both"/>
      </w:pPr>
      <w:r>
        <w:t>Система обязана сохранять доступный архив всех версий. Исправление не уничтожает прежнюю публикацию, а связывает её с новой версией, причиной изменения и ответственным субъектом.</w:t>
      </w:r>
    </w:p>
    <w:p>
      <w:pPr>
        <w:pStyle w:val="Heading2"/>
        <w:keepNext/>
        <w:keepLines/>
        <w:widowControl/>
      </w:pPr>
      <w:r>
        <w:t>9. Обязанности кандидатов, партий и инициативных кампаний</w:t>
      </w:r>
    </w:p>
    <w:p>
      <w:pPr>
        <w:widowControl/>
        <w:spacing w:after="80" w:line="252" w:lineRule="auto"/>
        <w:jc w:val="both"/>
      </w:pPr>
      <w:r>
        <w:t>Кандидат, партия, профессиональная инициативная кампания и иная организация, расходующая средства на массовое влияние, обязаны раскрывать заказчика, существенного плательщика, профессионального производителя, факт применения синтетических материалов и автоматизированного массового распространения.</w:t>
      </w:r>
    </w:p>
    <w:p>
      <w:pPr>
        <w:widowControl/>
        <w:spacing w:after="80" w:line="252" w:lineRule="auto"/>
        <w:jc w:val="both"/>
      </w:pPr>
      <w:r>
        <w:t>Обычный гражданин, не осуществляющий профессиональную кампанию и не получающий скрытого финансирования, не обязан публично раскрывать личность только потому, что поддерживает или критикует инициативу.</w:t>
      </w:r>
    </w:p>
    <w:p>
      <w:pPr>
        <w:pStyle w:val="Heading2"/>
        <w:keepNext/>
        <w:keepLines/>
        <w:widowControl/>
      </w:pPr>
      <w:r>
        <w:t>10. Независимый плюралистический фактчекинг</w:t>
      </w:r>
    </w:p>
    <w:p>
      <w:pPr>
        <w:widowControl/>
        <w:spacing w:after="80" w:line="252" w:lineRule="auto"/>
        <w:jc w:val="both"/>
      </w:pPr>
      <w:r>
        <w:t>Органы Доктрины вправе создавать равные технические условия для доступа к первичным данным независимым редакциям, исследователям и организациям проверки фактов, но не назначают единственного официального проверяющего.</w:t>
      </w:r>
    </w:p>
    <w:p>
      <w:pPr>
        <w:widowControl/>
        <w:spacing w:after="80" w:line="252" w:lineRule="auto"/>
        <w:jc w:val="both"/>
      </w:pPr>
      <w:r>
        <w:t>Материалы таких организаций публикуются как независимые мнения с раскрытием методики, финансирования, конфликтов интересов и права проверяемого лица на ответ.</w:t>
      </w:r>
    </w:p>
    <w:p>
      <w:pPr>
        <w:pStyle w:val="Heading2"/>
        <w:keepNext/>
        <w:keepLines/>
        <w:widowControl/>
      </w:pPr>
      <w:r>
        <w:t>11. Стандарт доказательства и бремя обоснования</w:t>
      </w:r>
    </w:p>
    <w:p>
      <w:pPr>
        <w:widowControl/>
        <w:spacing w:after="80" w:line="252" w:lineRule="auto"/>
        <w:jc w:val="both"/>
      </w:pPr>
      <w:r>
        <w:t>Бремя доказывания основания ограничения лежит на инициаторе меры. Политическая непопулярность, массовые жалобы, совпадение тезисов, иностранное происхождение идеи или использование шифрования сами по себе не доказывают незаконную координацию либо обман.</w:t>
      </w:r>
    </w:p>
    <w:p>
      <w:pPr>
        <w:widowControl/>
        <w:spacing w:after="80" w:line="252" w:lineRule="auto"/>
        <w:jc w:val="both"/>
      </w:pPr>
      <w:r>
        <w:t>Для срочной временной меры требуется конкретный и непосредственно проверяемый риск процедуре. Для санкции — полное состязательное рассмотрение и стандарт доказательства, установленный национальным законом не ниже стандарта для сопоставимого ограничения политической речи.</w:t>
      </w:r>
    </w:p>
    <w:p>
      <w:pPr>
        <w:pStyle w:val="Heading2"/>
        <w:keepNext/>
        <w:keepLines/>
        <w:widowControl/>
      </w:pPr>
      <w:r>
        <w:t>12. Право на ответ и исправление</w:t>
      </w:r>
    </w:p>
    <w:p>
      <w:pPr>
        <w:widowControl/>
        <w:spacing w:after="80" w:line="252" w:lineRule="auto"/>
        <w:jc w:val="both"/>
      </w:pPr>
      <w:r>
        <w:t>Лицо, в отношении которого опубликовано официальное сообщение о подделке, скрытом заказчике или иной нарушающей процедуру деятельности, имеет право получить доказательства, дать ответ в сопоставимом формате и добиться оперативного исправления фактической ошибки.</w:t>
      </w:r>
    </w:p>
    <w:p>
      <w:pPr>
        <w:widowControl/>
        <w:spacing w:after="80" w:line="252" w:lineRule="auto"/>
        <w:jc w:val="both"/>
      </w:pPr>
      <w:r>
        <w:t>Исправление должно достигать той же аудитории и сохранять связь с исходным сообщением. Поздняя публикация в малозаметном разделе не считается эффективным восстановлением.</w:t>
      </w:r>
    </w:p>
    <w:p>
      <w:pPr>
        <w:pStyle w:val="Heading2"/>
        <w:keepNext/>
        <w:keepLines/>
        <w:widowControl/>
      </w:pPr>
      <w:r>
        <w:t>13. Синтетические материалы</w:t>
      </w:r>
    </w:p>
    <w:p>
      <w:pPr>
        <w:widowControl/>
        <w:spacing w:after="80" w:line="252" w:lineRule="auto"/>
        <w:jc w:val="both"/>
      </w:pPr>
      <w:r>
        <w:t>Синтетическое изображение, аудио или видео, реалистично изображающее кандидата, должностное лицо, автора инициативы или представителя общественного органа, сопровождается ясной и технически устойчивой маркировкой происхождения.</w:t>
      </w:r>
    </w:p>
    <w:p>
      <w:pPr>
        <w:widowControl/>
        <w:spacing w:after="80" w:line="252" w:lineRule="auto"/>
        <w:jc w:val="both"/>
      </w:pPr>
      <w:r>
        <w:t>Не требуется маркировать очевидную сатиру или художественный материал, который разумный адресат не воспримет как подлинную запись. Запрет применяется к обманному олицетворению, а не к технологии как таковой.</w:t>
      </w:r>
    </w:p>
    <w:p>
      <w:pPr>
        <w:pStyle w:val="Heading2"/>
        <w:keepNext/>
        <w:keepLines/>
        <w:widowControl/>
      </w:pPr>
      <w:r>
        <w:t>14. Автоматизированные аккаунты и координированные сети</w:t>
      </w:r>
    </w:p>
    <w:p>
      <w:pPr>
        <w:widowControl/>
        <w:spacing w:after="80" w:line="252" w:lineRule="auto"/>
        <w:jc w:val="both"/>
      </w:pPr>
      <w:r>
        <w:t>Автоматизация допускается при раскрытии её характера и ответственного оператора. Запрещается использовать автоматизированные или фиктивные идентичности для имитации независимых граждан, обхода лимитов, массовой подачи фиктивных жалоб или создания ложной видимости поддержки.</w:t>
      </w:r>
    </w:p>
    <w:p>
      <w:pPr>
        <w:widowControl/>
        <w:spacing w:after="80" w:line="252" w:lineRule="auto"/>
        <w:jc w:val="both"/>
      </w:pPr>
      <w:r>
        <w:t>Квалификация сети основывается на проверяемых признаках координации, финансирования и управления. Сходство мнений или одновременная реакция на публичное событие не являются достаточными.</w:t>
      </w:r>
    </w:p>
    <w:p>
      <w:pPr>
        <w:pStyle w:val="Heading2"/>
        <w:keepNext/>
        <w:keepLines/>
        <w:widowControl/>
      </w:pPr>
      <w:r>
        <w:t>15. Политическая реклама и публичная библиотека</w:t>
      </w:r>
    </w:p>
    <w:p>
      <w:pPr>
        <w:widowControl/>
        <w:spacing w:after="80" w:line="252" w:lineRule="auto"/>
        <w:jc w:val="both"/>
      </w:pPr>
      <w:r>
        <w:t>Профессиональная политическая реклама, связанная с общественным поручением, хранится в публичной библиотеке, содержащей текст или копию материала, период распространения, общий диапазон расходов, заказчика, существенных плательщиков, критерии аудитории и сведения об использовании автоматизированного производства.</w:t>
      </w:r>
    </w:p>
    <w:p>
      <w:pPr>
        <w:widowControl/>
        <w:spacing w:after="80" w:line="252" w:lineRule="auto"/>
        <w:jc w:val="both"/>
      </w:pPr>
      <w:r>
        <w:t>Библиотека не должна раскрывать перечень конкретных граждан, увидевших сообщение, и не может использоваться для создания политических профилей.</w:t>
      </w:r>
    </w:p>
    <w:p>
      <w:pPr>
        <w:pStyle w:val="Heading2"/>
        <w:keepNext/>
        <w:keepLines/>
        <w:widowControl/>
      </w:pPr>
      <w:r>
        <w:t>16. Микротаргетинг и политическое профилирование</w:t>
      </w:r>
    </w:p>
    <w:p>
      <w:pPr>
        <w:widowControl/>
        <w:spacing w:after="80" w:line="252" w:lineRule="auto"/>
        <w:jc w:val="both"/>
      </w:pPr>
      <w:r>
        <w:t>Запрещается персонализировать политические сообщения на основании чувствительных данных, предполагаемых политических взглядов, состояния здоровья, религии, этнического происхождения, интимной жизни, профсоюзной принадлежности либо психологической уязвимости.</w:t>
      </w:r>
    </w:p>
    <w:p>
      <w:pPr>
        <w:widowControl/>
        <w:spacing w:after="80" w:line="252" w:lineRule="auto"/>
        <w:jc w:val="both"/>
      </w:pPr>
      <w:r>
        <w:t>Допускается ограниченное контекстное или территориальное распространение без создания индивидуального политического досье. Пользователь должен иметь возможность видеть, почему ему показано сообщение, и отключить персонализацию.</w:t>
      </w:r>
    </w:p>
    <w:p>
      <w:pPr>
        <w:pStyle w:val="Heading2"/>
        <w:keepNext/>
        <w:keepLines/>
        <w:widowControl/>
      </w:pPr>
      <w:r>
        <w:t>17. Обязанности крупных цифровых платформ</w:t>
      </w:r>
    </w:p>
    <w:p>
      <w:pPr>
        <w:widowControl/>
        <w:spacing w:after="80" w:line="252" w:lineRule="auto"/>
        <w:jc w:val="both"/>
      </w:pPr>
      <w:r>
        <w:t>Крупная платформа в пределах технически контролируемой ею среды обязана:</w:t>
      </w:r>
    </w:p>
    <w:p>
      <w:pPr>
        <w:pStyle w:val="ListBullet"/>
        <w:spacing w:after="40" w:line="240" w:lineRule="auto"/>
        <w:widowControl/>
      </w:pPr>
      <w:r>
        <w:t>поддерживать библиотеку политической рекламы и проверяемую маркировку заказчика;</w:t>
      </w:r>
    </w:p>
    <w:p>
      <w:pPr>
        <w:pStyle w:val="ListBullet"/>
        <w:spacing w:after="40" w:line="240" w:lineRule="auto"/>
        <w:widowControl/>
      </w:pPr>
      <w:r>
        <w:t>сохранять доказательства происхождения официальных материалов и синтетического олицетворения;</w:t>
      </w:r>
    </w:p>
    <w:p>
      <w:pPr>
        <w:pStyle w:val="ListBullet"/>
        <w:spacing w:after="40" w:line="240" w:lineRule="auto"/>
        <w:widowControl/>
      </w:pPr>
      <w:r>
        <w:t>предоставлять прозрачную процедуру уведомления, ответа и обжалования;</w:t>
      </w:r>
    </w:p>
    <w:p>
      <w:pPr>
        <w:pStyle w:val="ListBullet"/>
        <w:spacing w:after="40" w:line="240" w:lineRule="auto"/>
        <w:widowControl/>
      </w:pPr>
      <w:r>
        <w:t>публиковать агрегированную статистику мер без раскрытия политических предпочтений граждан;</w:t>
      </w:r>
    </w:p>
    <w:p>
      <w:pPr>
        <w:pStyle w:val="ListBullet"/>
        <w:spacing w:after="40" w:line="240" w:lineRule="auto"/>
        <w:widowControl/>
      </w:pPr>
      <w:r>
        <w:t>обеспечивать исследовательский доступ к обезличенным данным по правилам главы XXXVII;</w:t>
      </w:r>
    </w:p>
    <w:p>
      <w:pPr>
        <w:pStyle w:val="ListBullet"/>
        <w:spacing w:after="40" w:line="240" w:lineRule="auto"/>
        <w:widowControl/>
      </w:pPr>
      <w:r>
        <w:t>не применять скрытое понижение охвата по политическому содержанию без опубликованного общего правила;</w:t>
      </w:r>
    </w:p>
    <w:p>
      <w:pPr>
        <w:pStyle w:val="ListBullet"/>
        <w:spacing w:after="40" w:line="240" w:lineRule="auto"/>
        <w:widowControl/>
      </w:pPr>
      <w:r>
        <w:t>не передавать органу Доктрины функцию окончательной оценки политической истины.</w:t>
      </w:r>
    </w:p>
    <w:p>
      <w:pPr>
        <w:widowControl/>
        <w:spacing w:after="80" w:line="252" w:lineRule="auto"/>
        <w:jc w:val="both"/>
      </w:pPr>
      <w:r>
        <w:t>Платформа не обязана предварительно проверять всю политическую речь. Ответственность наступает за нарушение собственных прямо установленных обязанностей, а не за сам факт размещения спорного мнения третьего лица.</w:t>
      </w:r>
    </w:p>
    <w:p>
      <w:pPr>
        <w:widowControl/>
      </w:pPr>
      <w:r>
        <w:t>Официальная повестка не является исключительной. Кандидаты и граждане получают равную возможность представить дополнительные темы; государственное продвижение ограничено нейтральным информированием о процедуре.</w:t>
      </w:r>
    </w:p>
    <w:p>
      <w:pPr>
        <w:pStyle w:val="Heading2"/>
        <w:keepNext/>
        <w:keepLines/>
        <w:widowControl/>
      </w:pPr>
      <w:r>
        <w:t>18. Нейтральность официального интерфейса</w:t>
      </w:r>
    </w:p>
    <w:p>
      <w:pPr>
        <w:widowControl/>
        <w:spacing w:after="80" w:line="252" w:lineRule="auto"/>
        <w:jc w:val="both"/>
      </w:pPr>
      <w:r>
        <w:t>Официальная платформа не использует цвета, порядок, уведомления, значения по умолчанию, агрегированные рейтинги или иные элементы дизайна для скрытого поощрения конкретной инициативы, кандидата или версии ответа.</w:t>
      </w:r>
    </w:p>
    <w:p>
      <w:pPr>
        <w:widowControl/>
        <w:spacing w:after="80" w:line="252" w:lineRule="auto"/>
        <w:jc w:val="both"/>
      </w:pPr>
      <w:r>
        <w:t>Порядок сопоставимых позиций ротируется либо определяется публичным нейтральным правилом. До запуска и после существенных изменений проводится независимый аудит симметрии и доступности интерфейса.</w:t>
      </w:r>
    </w:p>
    <w:p>
      <w:pPr>
        <w:pStyle w:val="Heading2"/>
        <w:keepNext/>
        <w:keepLines/>
        <w:widowControl/>
      </w:pPr>
      <w:r>
        <w:t>19. Временные меры</w:t>
      </w:r>
    </w:p>
    <w:p>
      <w:pPr>
        <w:widowControl/>
        <w:spacing w:after="80" w:line="252" w:lineRule="auto"/>
        <w:jc w:val="both"/>
      </w:pPr>
      <w:r>
        <w:t>До окончательного решения допускается только минимальная мера, необходимая для предотвращения непосредственно наступающего вреда процедуре: маркировка происхождения, временное прекращение платного продвижения поддельного официального материала, ограничение доступа к похищенным данным или предупреждение о ложной инструкции.</w:t>
      </w:r>
    </w:p>
    <w:p>
      <w:pPr>
        <w:widowControl/>
        <w:spacing w:after="80" w:line="252" w:lineRule="auto"/>
        <w:jc w:val="both"/>
      </w:pPr>
      <w:r>
        <w:t>Удаление политического содержания, блокирование учётной записи или прекращение распространения применяются лишь когда менее ограничительная мера явно недостаточна. Временная мера автоматически прекращается по истечении короткого установленного срока, если не подтверждена независимым решением.</w:t>
      </w:r>
    </w:p>
    <w:p>
      <w:pPr>
        <w:pStyle w:val="Heading2"/>
        <w:keepNext/>
        <w:keepLines/>
        <w:widowControl/>
      </w:pPr>
      <w:r>
        <w:t>20. Жалоба и состязательная процедура</w:t>
      </w:r>
    </w:p>
    <w:p>
      <w:pPr>
        <w:widowControl/>
        <w:spacing w:after="80" w:line="252" w:lineRule="auto"/>
        <w:jc w:val="both"/>
      </w:pPr>
      <w:r>
        <w:t>Жалоба должна содержать конкретный материал, основание из закрытого перечня, сведения о предполагаемом вреде и доступные доказательства. Массовость однотипных жалоб не заменяет доказательство.</w:t>
      </w:r>
    </w:p>
    <w:p>
      <w:pPr>
        <w:widowControl/>
        <w:spacing w:after="80" w:line="252" w:lineRule="auto"/>
        <w:jc w:val="both"/>
      </w:pPr>
      <w:r>
        <w:t>Ответчик уведомляется, получает доступ к материалам, разумный срок для ответа и право представить эксперта. Решение указывает установленный факт, применённую норму, оценённые альтернативы и причину выбора меры.</w:t>
      </w:r>
    </w:p>
    <w:p>
      <w:pPr>
        <w:widowControl/>
      </w:pPr>
      <w:r>
        <w:t>Если вмешательство обосновывается секретным материалом, назначается независимый допущенный защитник, публикуется минимальное существо довода, а решение не может основываться только на материале, недоступном эффективной состязательной проверке.</w:t>
      </w:r>
    </w:p>
    <w:p>
      <w:pPr>
        <w:pStyle w:val="Heading2"/>
        <w:keepNext/>
        <w:keepLines/>
        <w:widowControl/>
      </w:pPr>
      <w:r>
        <w:t>21. Обжалование и судебный контроль</w:t>
      </w:r>
    </w:p>
    <w:p>
      <w:pPr>
        <w:widowControl/>
        <w:spacing w:after="80" w:line="252" w:lineRule="auto"/>
        <w:jc w:val="both"/>
      </w:pPr>
      <w:r>
        <w:t>Любое официальное ограничение, маркировка, влияющая на распространение, или отказ исправить фактическую ошибку подлежит ускоренному независимому обжалованию. Суд проверяет законность, доказанность, необходимость и соразмерность, но не устанавливает обязательную политическую интерпретацию.</w:t>
      </w:r>
    </w:p>
    <w:p>
      <w:pPr>
        <w:widowControl/>
        <w:spacing w:after="80" w:line="252" w:lineRule="auto"/>
        <w:jc w:val="both"/>
      </w:pPr>
      <w:r>
        <w:t>Жалобы, поданные исключительно для уничтожения календаря обсуждения, консолидируются в единое процессуальное окно. Повторное рассмотрение уже разрешённого основания допускается только при новых существенных фактах.</w:t>
      </w:r>
    </w:p>
    <w:p>
      <w:pPr>
        <w:pStyle w:val="Heading2"/>
        <w:keepNext/>
        <w:keepLines/>
        <w:widowControl/>
      </w:pPr>
      <w:r>
        <w:t>22. Ответственность</w:t>
      </w:r>
    </w:p>
    <w:p>
      <w:pPr>
        <w:widowControl/>
        <w:spacing w:after="80" w:line="252" w:lineRule="auto"/>
        <w:jc w:val="both"/>
      </w:pPr>
      <w:r>
        <w:t>Юридическая ответственность допускается за:</w:t>
      </w:r>
    </w:p>
    <w:p>
      <w:pPr>
        <w:pStyle w:val="ListBullet"/>
        <w:spacing w:after="40" w:line="240" w:lineRule="auto"/>
        <w:widowControl/>
      </w:pPr>
      <w:r>
        <w:t>умышленную подделку официального материала или полномочия;</w:t>
      </w:r>
    </w:p>
    <w:p>
      <w:pPr>
        <w:pStyle w:val="ListBullet"/>
        <w:spacing w:after="40" w:line="240" w:lineRule="auto"/>
        <w:widowControl/>
      </w:pPr>
      <w:r>
        <w:t>заведомо ложную процедурную инструкцию, создавшую существенный риск политическому праву;</w:t>
      </w:r>
    </w:p>
    <w:p>
      <w:pPr>
        <w:pStyle w:val="ListBullet"/>
        <w:spacing w:after="40" w:line="240" w:lineRule="auto"/>
        <w:widowControl/>
      </w:pPr>
      <w:r>
        <w:t>скрытие обязательного заказчика или существенного финансирования;</w:t>
      </w:r>
    </w:p>
    <w:p>
      <w:pPr>
        <w:pStyle w:val="ListBullet"/>
        <w:spacing w:after="40" w:line="240" w:lineRule="auto"/>
        <w:widowControl/>
      </w:pPr>
      <w:r>
        <w:t>обманное синтетическое олицетворение в пределах, установленных законом;</w:t>
      </w:r>
    </w:p>
    <w:p>
      <w:pPr>
        <w:pStyle w:val="ListBullet"/>
        <w:spacing w:after="40" w:line="240" w:lineRule="auto"/>
        <w:widowControl/>
      </w:pPr>
      <w:r>
        <w:t>незаконное получение либо распространение защищённых данных;</w:t>
      </w:r>
    </w:p>
    <w:p>
      <w:pPr>
        <w:pStyle w:val="ListBullet"/>
        <w:spacing w:after="40" w:line="240" w:lineRule="auto"/>
        <w:widowControl/>
      </w:pPr>
      <w:r>
        <w:t>создание координированной фиктивной сети для обхода правил участия;</w:t>
      </w:r>
    </w:p>
    <w:p>
      <w:pPr>
        <w:pStyle w:val="ListBullet"/>
        <w:spacing w:after="40" w:line="240" w:lineRule="auto"/>
        <w:widowControl/>
      </w:pPr>
      <w:r>
        <w:t>заведомо незаконное ограничение политической речи должностным лицом;</w:t>
      </w:r>
    </w:p>
    <w:p>
      <w:pPr>
        <w:pStyle w:val="ListBullet"/>
        <w:spacing w:after="40" w:line="240" w:lineRule="auto"/>
        <w:widowControl/>
      </w:pPr>
      <w:r>
        <w:t>сознательное использование информационного режима для преследования оппонента.</w:t>
      </w:r>
    </w:p>
    <w:p>
      <w:pPr>
        <w:widowControl/>
        <w:spacing w:after="80" w:line="252" w:lineRule="auto"/>
        <w:jc w:val="both"/>
      </w:pPr>
      <w:r>
        <w:t>Добросовестный прогноз, спорная оценка, редакционная ошибка, сатира и законная анонимная речь не образуют нарушения. Санкция должна быть индивидуализирована и соразмерна доказанному вреду.</w:t>
      </w:r>
    </w:p>
    <w:p>
      <w:pPr>
        <w:pStyle w:val="Heading2"/>
        <w:keepNext/>
        <w:keepLines/>
        <w:widowControl/>
      </w:pPr>
      <w:r>
        <w:t>23. Ограничение данных</w:t>
      </w:r>
    </w:p>
    <w:p>
      <w:pPr>
        <w:widowControl/>
        <w:spacing w:after="80" w:line="252" w:lineRule="auto"/>
        <w:jc w:val="both"/>
      </w:pPr>
      <w:r>
        <w:t>Для применения настоящей главы собираются только данные, необходимые для установления происхождения профессиональной кампании или конкретного нарушения. Не допускается создание общего реестра читателей, подписчиков, сторонников, жалобщиков и критиков.</w:t>
      </w:r>
    </w:p>
    <w:p>
      <w:pPr>
        <w:widowControl/>
        <w:spacing w:after="80" w:line="252" w:lineRule="auto"/>
        <w:jc w:val="both"/>
      </w:pPr>
      <w:r>
        <w:t>Данные о заказчиках и крупных расходах отделяются от данных рядовых граждан. Доступ, срок хранения, передача и уничтожение регулируются главой XXXVII.</w:t>
      </w:r>
    </w:p>
    <w:p>
      <w:pPr>
        <w:pStyle w:val="Heading2"/>
        <w:keepNext/>
        <w:keepLines/>
        <w:widowControl/>
      </w:pPr>
      <w:r>
        <w:t>24. Чрезвычайные обстоятельства и иностранное вмешательство</w:t>
      </w:r>
    </w:p>
    <w:p>
      <w:pPr>
        <w:widowControl/>
      </w:pPr>
      <w:r>
        <w:t>Чрезвычайные меры включаются в единый реестр и общий кумулятивный срок фактического события. Запрещается использовать смену квалификации «киберинцидент», «иностранное вмешательство» или «угроза безопасности» для последовательного продления ограничений.</w:t>
      </w:r>
    </w:p>
    <w:p>
      <w:pPr>
        <w:widowControl/>
      </w:pPr>
      <w:r>
        <w:t>Ни одна временная мера не изменяет правила кандидатов, пороги либо объём политического профилирования. Продление требует внешнего независимого подтверждения.</w:t>
      </w:r>
    </w:p>
    <w:p>
      <w:pPr>
        <w:pStyle w:val="Heading2"/>
        <w:keepNext/>
        <w:keepLines/>
        <w:widowControl/>
      </w:pPr>
      <w:r>
        <w:t>25. Контроль качества и периодический стресс-тест</w:t>
      </w:r>
    </w:p>
    <w:p>
      <w:pPr>
        <w:widowControl/>
        <w:spacing w:after="80" w:line="252" w:lineRule="auto"/>
        <w:jc w:val="both"/>
      </w:pPr>
      <w:r>
        <w:t>После каждого цикла публикуется независимая оценка числа и видов мер, доли отменённых решений, времени рассмотрения, ошибок, воздействия на разные политические позиции и случаев самоцензуры.</w:t>
      </w:r>
    </w:p>
    <w:p>
      <w:pPr>
        <w:widowControl/>
        <w:spacing w:after="80" w:line="252" w:lineRule="auto"/>
        <w:jc w:val="both"/>
      </w:pPr>
      <w:r>
        <w:t>Если режим систематически применяется асимметрично, создаёт устойчивый сдерживающий эффект для законной политической речи или не показывает преимущества перед более узкой моделью прозрачности происхождения, соответствующие полномочия автоматически приостанавливаются до законодательного пересмотра.</w:t>
      </w:r>
    </w:p>
    <w:p>
      <w:pPr>
        <w:pStyle w:val="Heading2"/>
        <w:keepNext/>
        <w:keepLines/>
        <w:widowControl/>
      </w:pPr>
      <w:r>
        <w:t>26. Наиболее сильные возражения и встроенные ответы</w:t>
      </w:r>
    </w:p>
    <w:tbl>
      <w:tblPr>
        <w:tblW w:type="auto" w:w="0"/>
        <w:jc w:val="center"/>
        <w:tblLook w:firstColumn="1" w:firstRow="1" w:lastColumn="0" w:lastRow="0" w:noHBand="0" w:noVBand="1" w:val="04A0"/>
      </w:tblPr>
      <w:tblGrid>
        <w:gridCol w:w="4916"/>
        <w:gridCol w:w="4916"/>
      </w:tblGrid>
      <w:tr>
        <w:trPr>
          <w:tblHeader w:val="true"/>
          <w:tblHeader w:val="true"/>
          <w:tblHeader w:val="true"/>
          <w:cantSplit/>
        </w:trPr>
        <w:tc>
          <w:tcPr>
            <w:tcW w:type="dxa" w:w="204"/>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Возражение</w:t>
            </w:r>
          </w:p>
        </w:tc>
        <w:tc>
          <w:tcPr>
            <w:tcW w:type="dxa" w:w="363"/>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Встроенный ответ</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«Это министерство истины»</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Общая квалификация политической истины прямо запрещена; вмешательство ограничено закрытым перечнем процедурного обмана и происхождения.</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«Власть будет маркировать критику как иностранную операцию»</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Требуются доказательства финансирования, управления или технического вмешательства; содержание критики само по себе не учитывается.</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«Платформы станут частными цензорами»</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Установлены узкие обязанности, состязательная процедура, прозрачность и независимое обжалование; предварительный общий мониторинг речи не требуется.</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«Анонимность позволяет астротурфинг»</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Анонимность обычного гражданина сохраняется, но профессиональная координация, заказчик и существенное финансирование раскрываются.</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«Срочная ложь причинит вред раньше суда»</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Допускается минимальная краткая мера против конкретной подделки или ложной инструкции с автоматическим прекращением и ускоренным контролем.</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«Фактчекинг всегда политичен»</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Он остаётся плюралистическим независимым мнением без властного статуса и обязан раскрывать методику и конфликты.</w:t>
            </w:r>
          </w:p>
        </w:tc>
      </w:tr>
    </w:tbl>
    <w:p>
      <w:pPr>
        <w:widowControl/>
        <w:spacing w:after="80" w:line="252" w:lineRule="auto"/>
      </w:pPr>
    </w:p>
    <w:p>
      <w:pPr>
        <w:pStyle w:val="Heading2"/>
        <w:keepNext/>
        <w:keepLines/>
        <w:widowControl/>
      </w:pPr>
      <w:r>
        <w:t>27. Связь с другими главами</w:t>
      </w:r>
    </w:p>
    <w:p>
      <w:pPr>
        <w:widowControl/>
        <w:spacing w:after="80" w:line="252" w:lineRule="auto"/>
        <w:jc w:val="both"/>
      </w:pPr>
      <w:r>
        <w:t>Настоящая глава применяется совместно с главами XVI об общественном обсуждении, XX–XXII о позиции и информировании кандидатов, XXXIV о финансировании и скрытом влиянии, XXXVI о кибербезопасности и XXXVII о политических данных. При коллизии приоритет имеют права человека, тайна участия и более узкая мера.</w:t>
      </w:r>
    </w:p>
    <w:p>
      <w:pPr>
        <w:pStyle w:val="Heading2"/>
        <w:keepNext/>
        <w:keepLines/>
        <w:widowControl/>
      </w:pPr>
      <w:r>
        <w:t>28. Вывод</w:t>
      </w:r>
    </w:p>
    <w:p>
      <w:pPr>
        <w:widowControl/>
        <w:spacing w:after="80" w:line="252" w:lineRule="auto"/>
        <w:jc w:val="both"/>
      </w:pPr>
      <w:r>
        <w:t>Информационная устойчивость Доктрины обеспечивается не контролем содержания политической мысли, а подлинностью официальной процедуры, прозрачностью профессионального влияния, доступом к исходным данным, правом на ответ и реальной ответственностью за подделку, мошенничество и незаконное использование данных.</w:t>
      </w:r>
    </w:p>
    <w:p>
      <w:pPr>
        <w:widowControl/>
        <w:spacing w:after="80" w:line="252" w:lineRule="auto"/>
      </w:pPr>
      <w:r>
        <w:br w:type="page"/>
      </w:r>
    </w:p>
    <w:p>
      <w:pPr>
        <w:pStyle w:val="Heading1"/>
        <w:keepNext/>
        <w:keepLines/>
        <w:pageBreakBefore/>
        <w:widowControl/>
        <w:spacing w:before="0" w:after="160"/>
        <w:pBdr>
          <w:bottom w:val="single" w:sz="5" w:space="4" w:color="B4C6E7"/>
        </w:pBdr>
      </w:pPr>
      <w:r>
        <w:t>Глава XXXVI. Кибербезопасность, целостность голосования и устойчивость цифровой инфраструктуры</w:t>
      </w:r>
    </w:p>
    <w:p>
      <w:pPr>
        <w:pStyle w:val="Heading2"/>
        <w:keepNext/>
        <w:keepLines/>
        <w:widowControl/>
      </w:pPr>
      <w:r>
        <w:t>1. Предмет и цель главы</w:t>
      </w:r>
    </w:p>
    <w:p>
      <w:pPr>
        <w:widowControl/>
        <w:spacing w:after="80" w:line="252" w:lineRule="auto"/>
        <w:jc w:val="both"/>
      </w:pPr>
      <w:r>
        <w:t>Настоящая глава устанавливает обязательные требования к цифровой инфраструктуре общественного поручения, включая подачу и поддержку инициатив, обсуждение, финальное голосование, публикацию результата, аудит, восстановление после инцидента и сохранение доказательств.</w:t>
      </w:r>
    </w:p>
    <w:p>
      <w:pPr>
        <w:widowControl/>
        <w:spacing w:after="80" w:line="252" w:lineRule="auto"/>
        <w:jc w:val="both"/>
      </w:pPr>
      <w:r>
        <w:t>Цель главы — обеспечить доказуемую целостность результата, возможность независимой проверки, безопасный отказ, равенство каналов и устойчивость к техническому, организационному, инсайдерскому и политически мотивированному вмешательству.</w:t>
      </w:r>
    </w:p>
    <w:p>
      <w:pPr>
        <w:pStyle w:val="Heading2"/>
        <w:keepNext/>
        <w:keepLines/>
        <w:widowControl/>
      </w:pPr>
      <w:r>
        <w:t>2. Неприкосновенное техническое ядро</w:t>
      </w:r>
    </w:p>
    <w:p>
      <w:pPr>
        <w:pStyle w:val="ListBullet"/>
        <w:spacing w:after="40" w:line="240" w:lineRule="auto"/>
        <w:widowControl/>
      </w:pPr>
      <w:r>
        <w:t>нулевое доверие к каждому отдельному участнику, администратору, поставщику и компоненту;</w:t>
      </w:r>
    </w:p>
    <w:p>
      <w:pPr>
        <w:pStyle w:val="ListBullet"/>
        <w:spacing w:after="40" w:line="240" w:lineRule="auto"/>
        <w:widowControl/>
      </w:pPr>
      <w:r>
        <w:t>отсутствие единственной точки, компрометация которой позволяет незаметно изменить результат;</w:t>
      </w:r>
    </w:p>
    <w:p>
      <w:pPr>
        <w:pStyle w:val="ListBullet"/>
        <w:spacing w:after="40" w:line="240" w:lineRule="auto"/>
        <w:widowControl/>
      </w:pPr>
      <w:r>
        <w:t>программная независимость результата: ошибка программного обеспечения должна обнаруживаться и исправляться без доверия к этому же программному обеспечению;</w:t>
      </w:r>
    </w:p>
    <w:p>
      <w:pPr>
        <w:pStyle w:val="ListBullet"/>
        <w:spacing w:after="40" w:line="240" w:lineRule="auto"/>
        <w:widowControl/>
      </w:pPr>
      <w:r>
        <w:t>разделение идентификации, подтверждения права, политического действия и подсчёта;</w:t>
      </w:r>
    </w:p>
    <w:p>
      <w:pPr>
        <w:pStyle w:val="ListBullet"/>
        <w:spacing w:after="40" w:line="240" w:lineRule="auto"/>
        <w:widowControl/>
      </w:pPr>
      <w:r>
        <w:t>независимое, воспроизводимое доказательство результата;</w:t>
      </w:r>
    </w:p>
    <w:p>
      <w:pPr>
        <w:pStyle w:val="ListBullet"/>
        <w:spacing w:after="40" w:line="240" w:lineRule="auto"/>
        <w:widowControl/>
      </w:pPr>
      <w:r>
        <w:t>открытые спецификации, контролируемый исходный код, воспроизводимая сборка и замороженная версия;</w:t>
      </w:r>
    </w:p>
    <w:p>
      <w:pPr>
        <w:pStyle w:val="ListBullet"/>
        <w:spacing w:after="40" w:line="240" w:lineRule="auto"/>
        <w:widowControl/>
      </w:pPr>
      <w:r>
        <w:t>резервный очный или бумажный канал, сопоставимый по правовой силе и доступности;</w:t>
      </w:r>
    </w:p>
    <w:p>
      <w:pPr>
        <w:pStyle w:val="ListBullet"/>
        <w:spacing w:after="40" w:line="240" w:lineRule="auto"/>
        <w:widowControl/>
      </w:pPr>
      <w:r>
        <w:t>независимость от одного поставщика, облака, центра сертификации или удалённого администратора;</w:t>
      </w:r>
    </w:p>
    <w:p>
      <w:pPr>
        <w:pStyle w:val="ListBullet"/>
        <w:spacing w:after="40" w:line="240" w:lineRule="auto"/>
        <w:widowControl/>
      </w:pPr>
      <w:r>
        <w:t>безопасный отказ: при сомнении система прекращает рискованную функцию, сохраняя возможность продолжить процедуру по доказуемому резервному контуру;</w:t>
      </w:r>
    </w:p>
    <w:p>
      <w:pPr>
        <w:pStyle w:val="ListBullet"/>
        <w:spacing w:after="40" w:line="240" w:lineRule="auto"/>
        <w:widowControl/>
      </w:pPr>
      <w:r>
        <w:t>обязательная готовность к пересчёту, частичному или полному переголосованию.</w:t>
      </w:r>
    </w:p>
    <w:p>
      <w:pPr>
        <w:pStyle w:val="Heading2"/>
        <w:keepNext/>
        <w:keepLines/>
        <w:widowControl/>
      </w:pPr>
      <w:r>
        <w:t>3. Основные определения</w:t>
      </w:r>
    </w:p>
    <w:tbl>
      <w:tblPr>
        <w:tblW w:type="auto" w:w="0"/>
        <w:jc w:val="center"/>
        <w:tblLook w:firstColumn="1" w:firstRow="1" w:lastColumn="0" w:lastRow="0" w:noHBand="0" w:noVBand="1" w:val="04A0"/>
      </w:tblPr>
      <w:tblGrid>
        <w:gridCol w:w="4916"/>
        <w:gridCol w:w="4916"/>
      </w:tblGrid>
      <w:tr>
        <w:trPr>
          <w:tblHeader w:val="true"/>
          <w:tblHeader w:val="true"/>
          <w:tblHeader w:val="true"/>
          <w:cantSplit/>
        </w:trPr>
        <w:tc>
          <w:tcPr>
            <w:tcW w:type="dxa" w:w="159"/>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Термин</w:t>
            </w:r>
          </w:p>
        </w:tc>
        <w:tc>
          <w:tcPr>
            <w:tcW w:type="dxa" w:w="408"/>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Определение</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Целостность результата</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Доказуемое соответствие опубликованного результата совокупности действительных политических действий без незаметного добавления, удаления, изменения или связывания с личностью.</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Программная независимость</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Свойство, при котором необнаруженная ошибка или злонамеренное изменение программы не способно вызвать необратимое изменение результата.</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Сквозная проверяемость</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Возможность проверить корректность формирования результата от регистрации права до итоговой агрегации без раскрытия содержания индивидуального выбора.</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Индивидуальная проверяемость</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Возможность участника убедиться, что его действие принято к обработке, без получения передаваемого доказательства содержания выбора.</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Доказательство результата</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Независимый бумажный, криптографический или комбинированный набор данных, позволяющий воспроизвести итог без доверия к рабочей базе оператора.</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Доверительная граница</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Организационная или техническая граница, за которой субъект не должен получать одновременно данные или полномочия, позволяющие незаметно изменить результат либо связать личность и действие.</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Безопасный отказ</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Предусмотренный переход к ограниченному или резервному режиму без потери уже сформированных доказательств и без автоматического признания всего цикла недействительным.</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Киберинцидент</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Событие, нарушающее или способное нарушить конфиденциальность, целостность, доступность, проверяемость либо равенство политической процедуры.</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Независимая сборка</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Исполняемая версия, воспроизводимая третьей стороной из опубликованного исходного кода и сопоставимая с фактически развернутой системой.</w:t>
            </w:r>
          </w:p>
        </w:tc>
      </w:tr>
      <w:tr>
        <w:trPr/>
        <w:tc>
          <w:tcPr>
            <w:tcW w:type="dxa" w:w="159"/>
            <w:vAlign w:val="center"/>
            <w:tcMar>
              <w:top w:w="70" w:type="dxa"/>
              <w:start w:w="80" w:type="dxa"/>
              <w:bottom w:w="70" w:type="dxa"/>
              <w:end w:w="80" w:type="dxa"/>
            </w:tcMar>
            <w:shd w:fill="EAF0F8"/>
          </w:tcPr>
          <w:p>
            <w:r/>
            <w:r>
              <w:t>Перечень программных компонентов (SBOM)</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Версионируемый перечень программных компонентов, зависимостей, происхождения и известных ограничений цепочки поставок.</w:t>
            </w:r>
          </w:p>
        </w:tc>
      </w:tr>
    </w:tbl>
    <w:p>
      <w:pPr>
        <w:widowControl/>
        <w:spacing w:after="80" w:line="252" w:lineRule="auto"/>
      </w:pPr>
    </w:p>
    <w:p>
      <w:pPr>
        <w:pStyle w:val="Heading2"/>
        <w:keepNext/>
        <w:keepLines/>
        <w:widowControl/>
      </w:pPr>
      <w:r>
        <w:t>4. Модель угроз</w:t>
      </w:r>
    </w:p>
    <w:p>
      <w:pPr>
        <w:widowControl/>
        <w:spacing w:after="80" w:line="252" w:lineRule="auto"/>
        <w:jc w:val="both"/>
      </w:pPr>
      <w:r>
        <w:t>До закупки, разработки или пилота публикуется модель угроз, охватывающая как минимум внешнего злоумышленника, иностранную операцию, инсайдера, захваченного администратора, сговор нескольких операторов, зависимого аудитора, компрометированную цепочку поставок, отказ инфраструктуры, домашнее принуждение, покупку политического действия, атаку на доступность и кампанию по подрыву доверия без изменения результата.</w:t>
      </w:r>
    </w:p>
    <w:p>
      <w:pPr>
        <w:widowControl/>
        <w:spacing w:after="80" w:line="252" w:lineRule="auto"/>
        <w:jc w:val="both"/>
      </w:pPr>
      <w:r>
        <w:t>Модель угроз обновляется после каждого существенного изменения и инцидента. Неизвестный или остаточный риск не скрывается, а отражается в публичном заключении о готовности.</w:t>
      </w:r>
    </w:p>
    <w:p>
      <w:pPr>
        <w:pStyle w:val="Heading2"/>
        <w:keepNext/>
        <w:keepLines/>
        <w:widowControl/>
      </w:pPr>
      <w:r>
        <w:t>5. Разделение контуров и полномочий</w:t>
      </w:r>
    </w:p>
    <w:p>
      <w:pPr>
        <w:widowControl/>
        <w:spacing w:after="80" w:line="252" w:lineRule="auto"/>
        <w:jc w:val="both"/>
      </w:pPr>
      <w:r>
        <w:t>Минимально разделяются:</w:t>
      </w:r>
    </w:p>
    <w:p>
      <w:pPr>
        <w:pStyle w:val="ListBullet"/>
        <w:spacing w:after="40" w:line="240" w:lineRule="auto"/>
        <w:widowControl/>
      </w:pPr>
      <w:r>
        <w:t>контур идентификации и проверки права;</w:t>
      </w:r>
    </w:p>
    <w:p>
      <w:pPr>
        <w:pStyle w:val="ListBullet"/>
        <w:spacing w:after="40" w:line="240" w:lineRule="auto"/>
        <w:widowControl/>
      </w:pPr>
      <w:r>
        <w:t>контур выдачи одноразового анонимного полномочия;</w:t>
      </w:r>
    </w:p>
    <w:p>
      <w:pPr>
        <w:pStyle w:val="ListBullet"/>
        <w:spacing w:after="40" w:line="240" w:lineRule="auto"/>
        <w:widowControl/>
      </w:pPr>
      <w:r>
        <w:t>контур приёма политического действия;</w:t>
      </w:r>
    </w:p>
    <w:p>
      <w:pPr>
        <w:pStyle w:val="ListBullet"/>
        <w:spacing w:after="40" w:line="240" w:lineRule="auto"/>
        <w:widowControl/>
      </w:pPr>
      <w:r>
        <w:t>контур хранения зашифрованных данных;</w:t>
      </w:r>
    </w:p>
    <w:p>
      <w:pPr>
        <w:pStyle w:val="ListBullet"/>
        <w:spacing w:after="40" w:line="240" w:lineRule="auto"/>
        <w:widowControl/>
      </w:pPr>
      <w:r>
        <w:t>контур агрегации и подсчёта;</w:t>
      </w:r>
    </w:p>
    <w:p>
      <w:pPr>
        <w:pStyle w:val="ListBullet"/>
        <w:spacing w:after="40" w:line="240" w:lineRule="auto"/>
        <w:widowControl/>
      </w:pPr>
      <w:r>
        <w:t>контур публикации доказательств;</w:t>
      </w:r>
    </w:p>
    <w:p>
      <w:pPr>
        <w:pStyle w:val="ListBullet"/>
        <w:spacing w:after="40" w:line="240" w:lineRule="auto"/>
        <w:widowControl/>
      </w:pPr>
      <w:r>
        <w:t>контур аудита и сертификации;</w:t>
      </w:r>
    </w:p>
    <w:p>
      <w:pPr>
        <w:pStyle w:val="ListBullet"/>
        <w:spacing w:after="40" w:line="240" w:lineRule="auto"/>
        <w:widowControl/>
      </w:pPr>
      <w:r>
        <w:t>контур резервного очного или бумажного продолжения.</w:t>
      </w:r>
    </w:p>
    <w:p>
      <w:pPr>
        <w:widowControl/>
        <w:spacing w:after="80" w:line="252" w:lineRule="auto"/>
        <w:jc w:val="both"/>
      </w:pPr>
      <w:r>
        <w:t>Ни один субъект не должен одновременно контролировать исходные идентификационные данные, содержание действия, ключи расшифрования и окончательное подтверждение результата. Критические операции требуют многостороннего разделения полномочий и публично наблюдаемой церемонии.</w:t>
      </w:r>
    </w:p>
    <w:p>
      <w:pPr>
        <w:widowControl/>
      </w:pPr>
      <w:r>
        <w:t>Карта инфраструктурной независимости доказывает, что ни один поставщик, интегратор или администратор не видит одновременно идентификационный, политический и аудиторский контуры. Общая телеметрия и скрытые межконтурные идентификаторы запрещаются.</w:t>
      </w:r>
    </w:p>
    <w:p>
      <w:pPr>
        <w:pStyle w:val="Heading2"/>
        <w:keepNext/>
        <w:keepLines/>
        <w:widowControl/>
      </w:pPr>
      <w:r>
        <w:t>6. Равенство каналов и источник доказательства</w:t>
      </w:r>
    </w:p>
    <w:p>
      <w:pPr>
        <w:widowControl/>
        <w:spacing w:after="80" w:line="252" w:lineRule="auto"/>
        <w:jc w:val="both"/>
      </w:pPr>
      <w:r>
        <w:t>Цифровой канал не получает более высокую правовую силу только вследствие скорости или масштаба. Очный, бумажный или иной резервный способ должен быть реально доступен, иметь сопоставимый срок и не создавать стигмы для пользователя.</w:t>
      </w:r>
    </w:p>
    <w:p>
      <w:pPr>
        <w:widowControl/>
        <w:spacing w:after="80" w:line="252" w:lineRule="auto"/>
        <w:jc w:val="both"/>
      </w:pPr>
      <w:r>
        <w:t>До цикла заранее устанавливается, какой объект является первичным доказательством при расхождении каналов. Это правило не может быть изменено после получения предварительных результатов.</w:t>
      </w:r>
    </w:p>
    <w:p>
      <w:pPr>
        <w:pStyle w:val="Heading2"/>
        <w:keepNext/>
        <w:keepLines/>
        <w:widowControl/>
      </w:pPr>
      <w:r>
        <w:t>7. Бумажное или независимо проверяемое доказательство</w:t>
      </w:r>
    </w:p>
    <w:p>
      <w:pPr>
        <w:widowControl/>
        <w:spacing w:after="80" w:line="252" w:lineRule="auto"/>
        <w:jc w:val="both"/>
      </w:pPr>
      <w:r>
        <w:t>Для юридически значимого голосования требуется доказательство, независимое от рабочей программы подсчёта. Предпочтительным является проверяемый бумажный след, созданный и проверенный участником в условиях тайны, либо криптографическое доказательство, прошедшее независимую публичную верификацию и не создающее передаваемую квитанцию.</w:t>
      </w:r>
    </w:p>
    <w:p>
      <w:pPr>
        <w:widowControl/>
        <w:spacing w:after="80" w:line="252" w:lineRule="auto"/>
        <w:jc w:val="both"/>
      </w:pPr>
      <w:r>
        <w:t>Если национальная система не способна обеспечить такое доказательство, цифровой результат имеет только консультативный или вспомогательный статус.</w:t>
      </w:r>
    </w:p>
    <w:p>
      <w:pPr>
        <w:pStyle w:val="Heading2"/>
        <w:keepNext/>
        <w:keepLines/>
        <w:widowControl/>
      </w:pPr>
      <w:r>
        <w:t>8. Ограничение удалённого интернет-голосования</w:t>
      </w:r>
    </w:p>
    <w:p>
      <w:pPr>
        <w:widowControl/>
        <w:spacing w:after="80" w:line="252" w:lineRule="auto"/>
        <w:jc w:val="both"/>
      </w:pPr>
      <w:r>
        <w:t>В первых пилотах удалённый интернет-канал не является обязательным, единственным или основным источником юридически значимого результата. Его применение расширяется только после отдельных воспроизводимых испытаний, доказательства доступности, отсутствия критических корреляционных утечек и оценки риска домашнего принуждения.</w:t>
      </w:r>
    </w:p>
    <w:p>
      <w:pPr>
        <w:widowControl/>
        <w:spacing w:after="80" w:line="252" w:lineRule="auto"/>
        <w:jc w:val="both"/>
      </w:pPr>
      <w:r>
        <w:t>Криптография не устраняет принуждение вне контролируемого помещения. Поэтому национальная адаптация должна предусматривать возможность свободно заменить ранее сделанное удалённое действие очным, не раскрывая содержание первого выбора, либо отказаться от удалённого канала.</w:t>
      </w:r>
    </w:p>
    <w:p>
      <w:pPr>
        <w:pStyle w:val="Heading2"/>
        <w:keepNext/>
        <w:keepLines/>
        <w:widowControl/>
      </w:pPr>
      <w:r>
        <w:t>9. Криптографическая проверяемость</w:t>
      </w:r>
    </w:p>
    <w:p>
      <w:pPr>
        <w:widowControl/>
        <w:spacing w:after="80" w:line="252" w:lineRule="auto"/>
        <w:jc w:val="both"/>
      </w:pPr>
      <w:r>
        <w:t>Криптографические протоколы документируются открыто, используют общепризнанные примитивы и реализуют верифицируемость без доказательства третьему лицу содержания индивидуального выбора.</w:t>
      </w:r>
    </w:p>
    <w:p>
      <w:pPr>
        <w:widowControl/>
        <w:spacing w:after="80" w:line="252" w:lineRule="auto"/>
        <w:jc w:val="both"/>
      </w:pPr>
      <w:r>
        <w:t>Ключи разделяются между независимыми попечителями. Создание, резервирование, применение, ротация и уничтожение ключей проходят по наблюдаемой церемонии с протоколом и проверяемыми артефактами.</w:t>
      </w:r>
    </w:p>
    <w:p>
      <w:pPr>
        <w:pStyle w:val="Heading2"/>
        <w:keepNext/>
        <w:keepLines/>
        <w:widowControl/>
      </w:pPr>
      <w:r>
        <w:t>10. Исходный код, сборка и замороженная версия</w:t>
      </w:r>
    </w:p>
    <w:p>
      <w:pPr>
        <w:widowControl/>
        <w:spacing w:after="80" w:line="252" w:lineRule="auto"/>
        <w:jc w:val="both"/>
      </w:pPr>
      <w:r>
        <w:t>Исходный код критических компонентов открыт либо полностью доступен независимым аудиторам, участникам наблюдения и суду. Публичная или контролируемая независимая сборка должна воспроизводить исполняемую версию.</w:t>
      </w:r>
    </w:p>
    <w:p>
      <w:pPr>
        <w:widowControl/>
        <w:spacing w:after="80" w:line="252" w:lineRule="auto"/>
        <w:jc w:val="both"/>
      </w:pPr>
      <w:r>
        <w:t>До начала юридически значимого этапа версия замораживается, подписывается несколькими независимыми держателями и публикуется её контрольная сумма. Любое изменение запускает повторную оценку и, если затрагивает критическую функцию, повторную сертификацию.</w:t>
      </w:r>
    </w:p>
    <w:p>
      <w:pPr>
        <w:pStyle w:val="Heading2"/>
        <w:keepNext/>
        <w:keepLines/>
        <w:widowControl/>
      </w:pPr>
      <w:r>
        <w:t>11. Реестр компонентов и цепочка поставок</w:t>
      </w:r>
    </w:p>
    <w:p>
      <w:pPr>
        <w:widowControl/>
        <w:spacing w:after="80" w:line="252" w:lineRule="auto"/>
        <w:jc w:val="both"/>
      </w:pPr>
      <w:r>
        <w:t>Оператор ведёт машиночитаемый перечень программных компонентов (SBOM), включая библиотеки, встроенное программное обеспечение, облачные сервисы, аппаратные модули, происхождение обновлений, условия лицензий и известные уязвимости.</w:t>
      </w:r>
    </w:p>
    <w:p>
      <w:pPr>
        <w:widowControl/>
        <w:spacing w:after="80" w:line="252" w:lineRule="auto"/>
        <w:jc w:val="both"/>
      </w:pPr>
      <w:r>
        <w:t>Поставщик не вправе сохранять скрытый постоянный удалённый доступ. Обновление в период цикла допускается только по утверждённой аварийной процедуре с сохранением прежней версии, обоснованием, независимой проверкой и публичным сообщением после устранения непосредственной угрозы.</w:t>
      </w:r>
    </w:p>
    <w:p>
      <w:pPr>
        <w:pStyle w:val="Heading2"/>
        <w:keepNext/>
        <w:keepLines/>
        <w:widowControl/>
      </w:pPr>
      <w:r>
        <w:t>12. Независимость от поставщика</w:t>
      </w:r>
    </w:p>
    <w:p>
      <w:pPr>
        <w:widowControl/>
        <w:spacing w:after="80" w:line="252" w:lineRule="auto"/>
        <w:jc w:val="both"/>
      </w:pPr>
      <w:r>
        <w:t>Критические данные, спецификации, ключевые интерфейсы, инструменты проверки и инструкции восстановления должны позволять перейти к другому поставщику без потери доказательств, исторических данных и возможности завершить цикл.</w:t>
      </w:r>
    </w:p>
    <w:p>
      <w:pPr>
        <w:widowControl/>
        <w:spacing w:after="80" w:line="252" w:lineRule="auto"/>
        <w:jc w:val="both"/>
      </w:pPr>
      <w:r>
        <w:t>Контракт запрещает зависимость от одного поставщика, закрытые форматы без документированного экспорта, единоличное владение ключами и прекращение аудиторского доступа после окончания договора.</w:t>
      </w:r>
    </w:p>
    <w:p>
      <w:pPr>
        <w:pStyle w:val="Heading2"/>
        <w:keepNext/>
        <w:keepLines/>
        <w:widowControl/>
      </w:pPr>
      <w:r>
        <w:t>13. Физическая и кадровая безопасность</w:t>
      </w:r>
    </w:p>
    <w:p>
      <w:pPr>
        <w:widowControl/>
        <w:spacing w:after="80" w:line="252" w:lineRule="auto"/>
        <w:jc w:val="both"/>
      </w:pPr>
      <w:r>
        <w:t>Критические помещения, носители и операции защищаются разграничением доступа, двойным контролем, журналированием без политических данных, проверкой персонала в пределах необходимости и обязательной ротацией чувствительных ролей.</w:t>
      </w:r>
    </w:p>
    <w:p>
      <w:pPr>
        <w:widowControl/>
        <w:spacing w:after="80" w:line="252" w:lineRule="auto"/>
        <w:jc w:val="both"/>
      </w:pPr>
      <w:r>
        <w:t>Ни один сотрудник не должен иметь возможность единолично изменить конфигурацию, стереть доказательства, получить полный набор ключей или объявить результат окончательным.</w:t>
      </w:r>
    </w:p>
    <w:p>
      <w:pPr>
        <w:pStyle w:val="Heading2"/>
        <w:keepNext/>
        <w:keepLines/>
        <w:widowControl/>
      </w:pPr>
      <w:r>
        <w:t>14. Журналирование без политического профиля</w:t>
      </w:r>
    </w:p>
    <w:p>
      <w:pPr>
        <w:widowControl/>
        <w:spacing w:after="80" w:line="252" w:lineRule="auto"/>
        <w:jc w:val="both"/>
      </w:pPr>
      <w:r>
        <w:t>Журналы фиксируют техническое событие, версию, полномочие роли и результат операции, но не содержание политического действия и не идентификатор, позволяющий восстановить его принадлежность конкретному лицу.</w:t>
      </w:r>
    </w:p>
    <w:p>
      <w:pPr>
        <w:widowControl/>
        <w:spacing w:after="80" w:line="252" w:lineRule="auto"/>
        <w:jc w:val="both"/>
      </w:pPr>
      <w:r>
        <w:t>Временные метки агрегируются, перемешиваются или иным образом защищаются от прямой корреляции. Совместный доступ к разным журналам допускается только в узкой процедуре, предусмотренной главой XXXVII.</w:t>
      </w:r>
    </w:p>
    <w:p>
      <w:pPr>
        <w:pStyle w:val="Heading2"/>
        <w:keepNext/>
        <w:keepLines/>
        <w:widowControl/>
      </w:pPr>
      <w:r>
        <w:t>15. Доступность, отказоустойчивость и продолжение вручную</w:t>
      </w:r>
    </w:p>
    <w:p>
      <w:pPr>
        <w:widowControl/>
        <w:spacing w:after="80" w:line="252" w:lineRule="auto"/>
        <w:jc w:val="both"/>
      </w:pPr>
      <w:r>
        <w:t>Система проектируется для пиковых нагрузок, отказа связи, отключения электроэнергии, недоступности отдельных регионов, массовой атаки и потери одного центра обработки. Резервирование не должно создавать скрытые копии политических профилей.</w:t>
      </w:r>
    </w:p>
    <w:p>
      <w:pPr>
        <w:widowControl/>
        <w:spacing w:after="80" w:line="252" w:lineRule="auto"/>
        <w:jc w:val="both"/>
      </w:pPr>
      <w:r>
        <w:t>Для каждой критической стадии существует документированный ручной или автономный режим продолжения. Персонал регулярно проходит учения, а результат учений публикуется в объёме, не раскрывающем эксплуатационные уязвимости.</w:t>
      </w:r>
    </w:p>
    <w:p>
      <w:pPr>
        <w:pStyle w:val="Heading2"/>
        <w:keepNext/>
        <w:keepLines/>
        <w:widowControl/>
      </w:pPr>
      <w:r>
        <w:t>16. Классификация киберинцидентов</w:t>
      </w:r>
    </w:p>
    <w:tbl>
      <w:tblPr>
        <w:tblW w:type="auto" w:w="0"/>
        <w:jc w:val="center"/>
        <w:tblLook w:firstColumn="1" w:firstRow="1" w:lastColumn="0" w:lastRow="0" w:noHBand="0" w:noVBand="1" w:val="04A0"/>
      </w:tblPr>
      <w:tblGrid>
        <w:gridCol w:w="3277"/>
        <w:gridCol w:w="3277"/>
        <w:gridCol w:w="3277"/>
      </w:tblGrid>
      <w:tr>
        <w:trPr>
          <w:tblHeader w:val="true"/>
          <w:tblHeader w:val="true"/>
          <w:tblHeader w:val="true"/>
          <w:cantSplit/>
        </w:trPr>
        <w:tc>
          <w:tcPr>
            <w:tcW w:type="dxa" w:w="57"/>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Класс</w:t>
            </w:r>
          </w:p>
        </w:tc>
        <w:tc>
          <w:tcPr>
            <w:tcW w:type="dxa" w:w="312"/>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Характер инцидента</w:t>
            </w:r>
          </w:p>
        </w:tc>
        <w:tc>
          <w:tcPr>
            <w:tcW w:type="dxa" w:w="198"/>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Минимальное последствие</w:t>
            </w:r>
          </w:p>
        </w:tc>
      </w:tr>
      <w:tr>
        <w:trPr/>
        <w:tc>
          <w:tcPr>
            <w:tcW w:type="dxa" w:w="57"/>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КБ-0</w:t>
            </w:r>
          </w:p>
        </w:tc>
        <w:tc>
          <w:tcPr>
            <w:tcW w:type="dxa" w:w="312"/>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Событие без воздействия на безопасность или доказательства.</w:t>
            </w:r>
          </w:p>
        </w:tc>
        <w:tc>
          <w:tcPr>
            <w:tcW w:type="dxa" w:w="19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Регистрация и обычный анализ.</w:t>
            </w:r>
          </w:p>
        </w:tc>
      </w:tr>
      <w:tr>
        <w:trPr/>
        <w:tc>
          <w:tcPr>
            <w:tcW w:type="dxa" w:w="57"/>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КБ-1</w:t>
            </w:r>
          </w:p>
        </w:tc>
        <w:tc>
          <w:tcPr>
            <w:tcW w:type="dxa" w:w="312"/>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Локальная уязвимость или отказ без доступа к критическим данным и без влияния на равенство.</w:t>
            </w:r>
          </w:p>
        </w:tc>
        <w:tc>
          <w:tcPr>
            <w:tcW w:type="dxa" w:w="19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Исправление, сохранение доказательств, уведомление аудитора.</w:t>
            </w:r>
          </w:p>
        </w:tc>
      </w:tr>
      <w:tr>
        <w:trPr/>
        <w:tc>
          <w:tcPr>
            <w:tcW w:type="dxa" w:w="57"/>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КБ-2</w:t>
            </w:r>
          </w:p>
        </w:tc>
        <w:tc>
          <w:tcPr>
            <w:tcW w:type="dxa" w:w="312"/>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Существенный отказ доступности, подозрение на несанкционированный доступ или ограниченное нарушение процедуры.</w:t>
            </w:r>
          </w:p>
        </w:tc>
        <w:tc>
          <w:tcPr>
            <w:tcW w:type="dxa" w:w="19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Ограничение функции, независимая проверка, публичное резюме.</w:t>
            </w:r>
          </w:p>
        </w:tc>
      </w:tr>
      <w:tr>
        <w:trPr/>
        <w:tc>
          <w:tcPr>
            <w:tcW w:type="dxa" w:w="57"/>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КБ-3</w:t>
            </w:r>
          </w:p>
        </w:tc>
        <w:tc>
          <w:tcPr>
            <w:tcW w:type="dxa" w:w="312"/>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Компрометация критического компонента либо невозможность подтвердить часть электронных записей.</w:t>
            </w:r>
          </w:p>
        </w:tc>
        <w:tc>
          <w:tcPr>
            <w:tcW w:type="dxa" w:w="19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Приостановка затронутого канала, расширенный аудит, возможный частичный пересчёт.</w:t>
            </w:r>
          </w:p>
        </w:tc>
      </w:tr>
      <w:tr>
        <w:trPr/>
        <w:tc>
          <w:tcPr>
            <w:tcW w:type="dxa" w:w="57"/>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КБ-4</w:t>
            </w:r>
          </w:p>
        </w:tc>
        <w:tc>
          <w:tcPr>
            <w:tcW w:type="dxa" w:w="312"/>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Доказанное или вероятное изменение существенной части данных, ключей либо условий равного участия.</w:t>
            </w:r>
          </w:p>
        </w:tc>
        <w:tc>
          <w:tcPr>
            <w:tcW w:type="dxa" w:w="19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Запрет сертификации до восстановления; частичное переголосование или переход к резервному доказательству.</w:t>
            </w:r>
          </w:p>
        </w:tc>
      </w:tr>
      <w:tr>
        <w:trPr/>
        <w:tc>
          <w:tcPr>
            <w:tcW w:type="dxa" w:w="57"/>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КБ-5</w:t>
            </w:r>
          </w:p>
        </w:tc>
        <w:tc>
          <w:tcPr>
            <w:tcW w:type="dxa" w:w="312"/>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Невозможность установить достоверный результат либо фундаментальное нарушение тайны/равенства.</w:t>
            </w:r>
          </w:p>
        </w:tc>
        <w:tc>
          <w:tcPr>
            <w:tcW w:type="dxa" w:w="19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Полное непризнание затронутого результата и переголосование по заранее установленной процедуре.</w:t>
            </w:r>
          </w:p>
        </w:tc>
      </w:tr>
    </w:tbl>
    <w:p>
      <w:pPr>
        <w:widowControl/>
        <w:spacing w:after="80" w:line="252" w:lineRule="auto"/>
      </w:pPr>
    </w:p>
    <w:p>
      <w:pPr>
        <w:widowControl/>
        <w:spacing w:after="80" w:line="252" w:lineRule="auto"/>
        <w:jc w:val="both"/>
      </w:pPr>
      <w:r>
        <w:t>Класс определяется не только арифметическим влиянием на итог. Массовая утрата тайны, неравенство доступа или невозможность независимой проверки могут требовать более высокого класса даже при неизвестном количестве изменённых записей.</w:t>
      </w:r>
    </w:p>
    <w:p>
      <w:pPr>
        <w:widowControl/>
      </w:pPr>
      <w:r>
        <w:t>Автоматизированный антифрод не принимает окончательное решение об отказе. Необходимы человек, объяснение, право исправления и аудит ложных срабатываний по группам; данные не используются для вывода политической позиции.</w:t>
      </w:r>
    </w:p>
    <w:p>
      <w:pPr>
        <w:pStyle w:val="Heading2"/>
        <w:keepNext/>
        <w:keepLines/>
        <w:widowControl/>
      </w:pPr>
      <w:r>
        <w:t>17. Реагирование и сохранение доказательств</w:t>
      </w:r>
    </w:p>
    <w:p>
      <w:pPr>
        <w:widowControl/>
        <w:spacing w:after="80" w:line="252" w:lineRule="auto"/>
        <w:jc w:val="both"/>
      </w:pPr>
      <w:r>
        <w:t>При инциденте оператор обязан немедленно изолировать затронутую функцию, сохранить неизменяемые доказательства, активировать независимого аудитора, уведомить ответственные органы и обеспечить продолжение по резервному контуру.</w:t>
      </w:r>
    </w:p>
    <w:p>
      <w:pPr>
        <w:widowControl/>
        <w:spacing w:after="80" w:line="252" w:lineRule="auto"/>
        <w:jc w:val="both"/>
      </w:pPr>
      <w:r>
        <w:t>Запрещается уничтожать, перезаписывать или скрывать журнал под предлогом устранения уязвимости. Публичное раскрытие откладывается только на срок, необходимый для предотвращения повторной эксплуатации, и сопровождается независимым контролем.</w:t>
      </w:r>
    </w:p>
    <w:p>
      <w:pPr>
        <w:pStyle w:val="Heading2"/>
        <w:keepNext/>
        <w:keepLines/>
        <w:widowControl/>
      </w:pPr>
      <w:r>
        <w:t>18. Публичная коммуникация об инциденте</w:t>
      </w:r>
    </w:p>
    <w:p>
      <w:pPr>
        <w:widowControl/>
        <w:spacing w:after="80" w:line="252" w:lineRule="auto"/>
        <w:jc w:val="both"/>
      </w:pPr>
      <w:r>
        <w:t>Информация публикуется единым проверяемым сообщением, содержащим время, затронутые функции, установленный и неустановленный эффект, временные меры, план проверки и срок следующего обновления.</w:t>
      </w:r>
    </w:p>
    <w:p>
      <w:pPr>
        <w:widowControl/>
        <w:spacing w:after="80" w:line="252" w:lineRule="auto"/>
        <w:jc w:val="both"/>
      </w:pPr>
      <w:r>
        <w:t>Политическое руководство не вправе единолично преуменьшать либо преувеличивать инцидент. Технический оператор не вправе объявлять юридическую действительность результата; он предоставляет доказательства компетентному коллегиальному субъекту и суду.</w:t>
      </w:r>
    </w:p>
    <w:p>
      <w:pPr>
        <w:pStyle w:val="Heading2"/>
        <w:keepNext/>
        <w:keepLines/>
        <w:widowControl/>
      </w:pPr>
      <w:r>
        <w:t>19. Аудит, сверка и пересчёт</w:t>
      </w:r>
    </w:p>
    <w:p>
      <w:pPr>
        <w:widowControl/>
        <w:spacing w:after="80" w:line="252" w:lineRule="auto"/>
        <w:jc w:val="both"/>
      </w:pPr>
      <w:r>
        <w:t>До окончательной сертификации проводится независимая сверка количества выданных полномочий, принятых действий, отклонённых записей, доказательств включения и итоговой агрегации без восстановления индивидуального выбора.</w:t>
      </w:r>
    </w:p>
    <w:p>
      <w:pPr>
        <w:widowControl/>
        <w:spacing w:after="80" w:line="252" w:lineRule="auto"/>
        <w:jc w:val="both"/>
      </w:pPr>
      <w:r>
        <w:t>Метод выборочного аудита и пороги расширения устанавливаются до голосования. При расхождении аудит автоматически расширяется вплоть до полного пересчёта по независимому доказательству.</w:t>
      </w:r>
    </w:p>
    <w:p>
      <w:pPr>
        <w:pStyle w:val="Heading2"/>
        <w:keepNext/>
        <w:keepLines/>
        <w:widowControl/>
      </w:pPr>
      <w:r>
        <w:t>20. Частичное и полное переголосование</w:t>
      </w:r>
    </w:p>
    <w:p>
      <w:pPr>
        <w:widowControl/>
        <w:spacing w:after="80" w:line="252" w:lineRule="auto"/>
        <w:jc w:val="both"/>
      </w:pPr>
      <w:r>
        <w:t>Переголосование является последней мерой и применяется только когда восстановление доказуемого результата невозможно либо фундаментально нарушены равенство и тайна.</w:t>
      </w:r>
    </w:p>
    <w:p>
      <w:pPr>
        <w:widowControl/>
        <w:spacing w:after="80" w:line="252" w:lineRule="auto"/>
        <w:jc w:val="both"/>
      </w:pPr>
      <w:r>
        <w:t>Решение не может приниматься единолично оператором, правительством, органом безопасности или кандидатом. Требуются техническое заключение, независимый аудит, мотивированное решение компетентного органа и ускоренная судебная проверка. Объём переголосования ограничивается реально затронутой частью, если её можно надёжно отделить.</w:t>
      </w:r>
    </w:p>
    <w:p>
      <w:pPr>
        <w:pStyle w:val="Heading2"/>
        <w:keepNext/>
        <w:keepLines/>
        <w:widowControl/>
      </w:pPr>
      <w:r>
        <w:t>21. Сертификация и атаковые испытания</w:t>
      </w:r>
    </w:p>
    <w:p>
      <w:pPr>
        <w:widowControl/>
        <w:spacing w:after="80" w:line="252" w:lineRule="auto"/>
        <w:jc w:val="both"/>
      </w:pPr>
      <w:r>
        <w:t>Сертификация проводится до каждого юридически значимого цикла независимой организацией, не участвовавшей в разработке и не зависящей от поставщика или оператора.</w:t>
      </w:r>
    </w:p>
    <w:p>
      <w:pPr>
        <w:pStyle w:val="ListBullet"/>
        <w:spacing w:after="40" w:line="240" w:lineRule="auto"/>
        <w:widowControl/>
      </w:pPr>
      <w:r>
        <w:t>проверка архитектуры и модели угроз;</w:t>
      </w:r>
    </w:p>
    <w:p>
      <w:pPr>
        <w:pStyle w:val="ListBullet"/>
        <w:spacing w:after="40" w:line="240" w:lineRule="auto"/>
        <w:widowControl/>
      </w:pPr>
      <w:r>
        <w:t>анализ исходного кода и воспроизводимой сборки;</w:t>
      </w:r>
    </w:p>
    <w:p>
      <w:pPr>
        <w:pStyle w:val="ListBullet"/>
        <w:spacing w:after="40" w:line="240" w:lineRule="auto"/>
        <w:widowControl/>
      </w:pPr>
      <w:r>
        <w:t>аудит цепочки поставок и перечня программных компонентов;</w:t>
      </w:r>
    </w:p>
    <w:p>
      <w:pPr>
        <w:pStyle w:val="ListBullet"/>
        <w:spacing w:after="40" w:line="240" w:lineRule="auto"/>
        <w:widowControl/>
      </w:pPr>
      <w:r>
        <w:t>нагрузочные и отказные испытания;</w:t>
      </w:r>
    </w:p>
    <w:p>
      <w:pPr>
        <w:pStyle w:val="ListBullet"/>
        <w:spacing w:after="40" w:line="240" w:lineRule="auto"/>
        <w:widowControl/>
      </w:pPr>
      <w:r>
        <w:t>атаковые испытания внешнего, инсайдерского и межконтурного нападения независимой командой;</w:t>
      </w:r>
    </w:p>
    <w:p>
      <w:pPr>
        <w:pStyle w:val="ListBullet"/>
        <w:spacing w:after="40" w:line="240" w:lineRule="auto"/>
        <w:widowControl/>
      </w:pPr>
      <w:r>
        <w:t>проверка физической безопасности и церемоний ключей;</w:t>
      </w:r>
    </w:p>
    <w:p>
      <w:pPr>
        <w:pStyle w:val="ListBullet"/>
        <w:spacing w:after="40" w:line="240" w:lineRule="auto"/>
        <w:widowControl/>
      </w:pPr>
      <w:r>
        <w:t>корреляционные испытания на повторную идентификацию совместно с аудитом главы XXXVII;</w:t>
      </w:r>
    </w:p>
    <w:p>
      <w:pPr>
        <w:pStyle w:val="ListBullet"/>
        <w:spacing w:after="40" w:line="240" w:lineRule="auto"/>
        <w:widowControl/>
      </w:pPr>
      <w:r>
        <w:t>проверка ручного продолжения, пересчёта и переголосования.</w:t>
      </w:r>
    </w:p>
    <w:p>
      <w:pPr>
        <w:widowControl/>
        <w:spacing w:after="80" w:line="252" w:lineRule="auto"/>
        <w:jc w:val="both"/>
      </w:pPr>
      <w:r>
        <w:t>Отрицательное заключение о критическом требовании автоматически запрещает использование соответствующего канала для юридически значимого результата. Политическое решение не может заменить техническое доказательство.</w:t>
      </w:r>
    </w:p>
    <w:p>
      <w:pPr>
        <w:widowControl/>
      </w:pPr>
      <w:r>
        <w:t>Сертификация требует кворума институциональной независимости. Если независимый контур утрачен либо подтверждения происходят из одной инфраструктурной зависимости, официальный результат не сертифицируется и публикуется только как оспариваемый массив.</w:t>
      </w:r>
    </w:p>
    <w:p>
      <w:pPr>
        <w:pStyle w:val="Heading2"/>
        <w:keepNext/>
        <w:keepLines/>
        <w:widowControl/>
      </w:pPr>
      <w:r>
        <w:t>22. Исследователи и ответственное раскрытие</w:t>
      </w:r>
    </w:p>
    <w:p>
      <w:pPr>
        <w:widowControl/>
        <w:spacing w:after="80" w:line="252" w:lineRule="auto"/>
        <w:jc w:val="both"/>
      </w:pPr>
      <w:r>
        <w:t>Независимым исследователям предоставляется законный канал сообщения об уязвимостях, безопасная гавань для добросовестного тестирования в установленных пределах и разумное вознаграждение за существенный результат.</w:t>
      </w:r>
    </w:p>
    <w:p>
      <w:pPr>
        <w:widowControl/>
        <w:spacing w:after="80" w:line="252" w:lineRule="auto"/>
        <w:jc w:val="both"/>
      </w:pPr>
      <w:r>
        <w:t>Запрещается преследовать исследователя за публикацию после истечения согласованного срока, если оператор не принял достаточных мер и отсутствует раскрытие политических данных граждан.</w:t>
      </w:r>
    </w:p>
    <w:p>
      <w:pPr>
        <w:pStyle w:val="Heading2"/>
        <w:keepNext/>
        <w:keepLines/>
        <w:widowControl/>
      </w:pPr>
      <w:r>
        <w:t>23. Разделение контроля</w:t>
      </w:r>
    </w:p>
    <w:p>
      <w:pPr>
        <w:widowControl/>
        <w:spacing w:after="80" w:line="252" w:lineRule="auto"/>
        <w:jc w:val="both"/>
      </w:pPr>
      <w:r>
        <w:t>Оператор обеспечивает работу, аудитор проверяет, орган защиты данных контролирует приватность, избирательный или иной компетентный орган устанавливает процедурную действительность, а суд разрешает спор. Совмещение функций допускается только в малом пилоте при компенсирующем внешнем контроле и не может становиться постоянной моделью.</w:t>
      </w:r>
    </w:p>
    <w:p>
      <w:pPr>
        <w:widowControl/>
        <w:spacing w:after="80" w:line="252" w:lineRule="auto"/>
        <w:jc w:val="both"/>
      </w:pPr>
      <w:r>
        <w:t>Аудитор не получает полномочия управлять системой; оператор не назначает единственного аудитора; политический адресат не контролирует методику технической сертификации.</w:t>
      </w:r>
    </w:p>
    <w:p>
      <w:pPr>
        <w:pStyle w:val="Heading2"/>
        <w:keepNext/>
        <w:keepLines/>
        <w:widowControl/>
      </w:pPr>
      <w:r>
        <w:t>24. Обжалование и ответственность</w:t>
      </w:r>
    </w:p>
    <w:p>
      <w:pPr>
        <w:widowControl/>
        <w:spacing w:after="80" w:line="252" w:lineRule="auto"/>
        <w:jc w:val="both"/>
      </w:pPr>
      <w:r>
        <w:t>Участник, кандидат, наблюдатель, уполномоченный общественный субъект и орган защиты данных вправе оспорить сертификацию, класс инцидента, отказ в пересчёте и решение о переголосовании в ускоренном процессе.</w:t>
      </w:r>
    </w:p>
    <w:p>
      <w:pPr>
        <w:widowControl/>
        <w:spacing w:after="80" w:line="252" w:lineRule="auto"/>
        <w:jc w:val="both"/>
      </w:pPr>
      <w:r>
        <w:t>Ответственность наступает за:</w:t>
      </w:r>
    </w:p>
    <w:p>
      <w:pPr>
        <w:pStyle w:val="ListBullet"/>
        <w:spacing w:after="40" w:line="240" w:lineRule="auto"/>
        <w:widowControl/>
      </w:pPr>
      <w:r>
        <w:t>умышленное вмешательство, фальсификацию или сокрытие инцидента;</w:t>
      </w:r>
    </w:p>
    <w:p>
      <w:pPr>
        <w:pStyle w:val="ListBullet"/>
        <w:spacing w:after="40" w:line="240" w:lineRule="auto"/>
        <w:widowControl/>
      </w:pPr>
      <w:r>
        <w:t>развёртывание несертифицированной версии либо скрытого компонента;</w:t>
      </w:r>
    </w:p>
    <w:p>
      <w:pPr>
        <w:pStyle w:val="ListBullet"/>
        <w:spacing w:after="40" w:line="240" w:lineRule="auto"/>
        <w:widowControl/>
      </w:pPr>
      <w:r>
        <w:t>неправомерный доступ к ключам или политическим данным;</w:t>
      </w:r>
    </w:p>
    <w:p>
      <w:pPr>
        <w:pStyle w:val="ListBullet"/>
        <w:spacing w:after="40" w:line="240" w:lineRule="auto"/>
        <w:widowControl/>
      </w:pPr>
      <w:r>
        <w:t>уничтожение доказательств и ложное сообщение о результатах аудита;</w:t>
      </w:r>
    </w:p>
    <w:p>
      <w:pPr>
        <w:pStyle w:val="ListBullet"/>
        <w:spacing w:after="40" w:line="240" w:lineRule="auto"/>
        <w:widowControl/>
      </w:pPr>
      <w:r>
        <w:t>заведомо фиктивную сертификацию, грубую небрежность или скрытый конфликт интересов;</w:t>
      </w:r>
    </w:p>
    <w:p>
      <w:pPr>
        <w:pStyle w:val="ListBullet"/>
        <w:spacing w:after="40" w:line="240" w:lineRule="auto"/>
        <w:widowControl/>
      </w:pPr>
      <w:r>
        <w:t>использование реального или вымышленного киберинцидента для политически избирательной отмены результата.</w:t>
      </w:r>
    </w:p>
    <w:p>
      <w:pPr>
        <w:widowControl/>
        <w:spacing w:after="80" w:line="252" w:lineRule="auto"/>
        <w:jc w:val="both"/>
      </w:pPr>
      <w:r>
        <w:t>Добросовестный технический прогноз или неустранимая уязвимость не влекут наказания, если риск был своевременно раскрыт и запуск не был неправомерно одобрен.</w:t>
      </w:r>
    </w:p>
    <w:p>
      <w:pPr>
        <w:widowControl/>
      </w:pPr>
      <w:r>
        <w:t>Каждое усиленное цифровое полномочие масштабируется только после отдельного воспроизводимого атакового пилота именно этого полномочия. Успех информационного или консультативного этапа не доказывает готовность юридически значимого удалённого режима.</w:t>
      </w:r>
    </w:p>
    <w:p>
      <w:pPr>
        <w:pStyle w:val="Heading2"/>
        <w:keepNext/>
        <w:keepLines/>
        <w:widowControl/>
      </w:pPr>
      <w:r>
        <w:t>25. Пилотирование и ворота масштабирования</w:t>
      </w:r>
    </w:p>
    <w:p>
      <w:pPr>
        <w:widowControl/>
        <w:spacing w:after="80" w:line="252" w:lineRule="auto"/>
        <w:jc w:val="both"/>
      </w:pPr>
      <w:r>
        <w:t>Каждый новый канал проходит последовательность: лабораторная симуляция, закрытое атаковой тестирование, неюридический пилот, ограниченный очный пилот с независимым доказательством, повторение в иной среде и только затем рассмотрение масштабирования.</w:t>
      </w:r>
    </w:p>
    <w:p>
      <w:pPr>
        <w:widowControl/>
        <w:spacing w:after="80" w:line="252" w:lineRule="auto"/>
        <w:jc w:val="both"/>
      </w:pPr>
      <w:r>
        <w:t>Критерии успеха и остановки регистрируются заранее. Два независимых воспроизводимых цикла являются минимальным, но не достаточным условием перехода к национальному применению.</w:t>
      </w:r>
    </w:p>
    <w:p>
      <w:pPr>
        <w:pStyle w:val="Heading2"/>
        <w:keepNext/>
        <w:keepLines/>
        <w:widowControl/>
      </w:pPr>
      <w:r>
        <w:t>26. Наиболее сильные возражения и остаточные риски</w:t>
      </w:r>
    </w:p>
    <w:tbl>
      <w:tblPr>
        <w:tblW w:type="auto" w:w="0"/>
        <w:jc w:val="center"/>
        <w:tblLook w:firstColumn="1" w:firstRow="1" w:lastColumn="0" w:lastRow="0" w:noHBand="0" w:noVBand="1" w:val="04A0"/>
      </w:tblPr>
      <w:tblGrid>
        <w:gridCol w:w="4916"/>
        <w:gridCol w:w="4916"/>
      </w:tblGrid>
      <w:tr>
        <w:trPr>
          <w:tblHeader w:val="true"/>
          <w:tblHeader w:val="true"/>
          <w:tblHeader w:val="true"/>
          <w:cantSplit/>
        </w:trPr>
        <w:tc>
          <w:tcPr>
            <w:tcW w:type="dxa" w:w="204"/>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Возражение или риск</w:t>
            </w:r>
          </w:p>
        </w:tc>
        <w:tc>
          <w:tcPr>
            <w:tcW w:type="dxa" w:w="363"/>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Ответ и остаточный риск</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«Любая цифровая система может быть взломана»</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Доктрина не обещает невозможность взлома; она требует обнаруживаемости, независимого доказательства, безопасного отказа и восстановления. Остаточный риск сохраняется.</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«Удалённое голосование допускает семейное и покупное принуждение»</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Риск признаётся неустранимым криптографией; удалённый канал не основной в ранних пилотах, а национальная модель обязана предусмотреть свободную замену или отказ.</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«Открытый код помогает атакующим»</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Секретность кода не заменяет безопасность; критичны управление развертыванием, ключи, сборка, цепочка поставок и независимое доказательство.</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«Бумага также ошибается»</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Бумажный след не абсолютен, но позволяет независимый физический пересчёт. Требуются контроль цепочки хранения, выборочный аудит и сопоставление каналов.</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«Можно уничтожить доверие одним слухом»</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Сохраняются независимые доказательства, публичная матрица инцидентов и многосторонняя коммуникация; однако политический риск недоверия неустраним полностью.</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«Система слишком дорога»</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Стоимость учитывается в пилотах и фискальном контроле; экономия на резерве, аудите и приватности не допускается, поскольку создаёт неприемлемый системный риск.</w:t>
            </w:r>
          </w:p>
        </w:tc>
      </w:tr>
    </w:tbl>
    <w:p>
      <w:pPr>
        <w:widowControl/>
        <w:spacing w:after="80" w:line="252" w:lineRule="auto"/>
      </w:pPr>
    </w:p>
    <w:p>
      <w:pPr>
        <w:pStyle w:val="Heading2"/>
        <w:keepNext/>
        <w:keepLines/>
        <w:widowControl/>
      </w:pPr>
      <w:r>
        <w:t>27. Связь с другими главами и вывод</w:t>
      </w:r>
    </w:p>
    <w:p>
      <w:pPr>
        <w:widowControl/>
        <w:spacing w:after="80" w:line="252" w:lineRule="auto"/>
        <w:jc w:val="both"/>
      </w:pPr>
      <w:r>
        <w:t>Настоящая глава применяется совместно с главами XI о равенстве каналов, XVIII о финальном голосовании, XXXI о пилотировании и XXXVII о политической приватности. Техническая целостность не заменяет правовую допустимость, свободное волеизъявление и равенство участия.</w:t>
      </w:r>
    </w:p>
    <w:p>
      <w:pPr>
        <w:widowControl/>
        <w:spacing w:after="80" w:line="252" w:lineRule="auto"/>
        <w:jc w:val="both"/>
      </w:pPr>
      <w:r>
        <w:t>Юридически значимый цифровой результат допустим только тогда, когда его можно независимо доказать, воспроизвести, оспорить и при необходимости исправить без раскрытия индивидуального политического выбора.</w:t>
      </w:r>
    </w:p>
    <w:p>
      <w:pPr>
        <w:widowControl/>
        <w:spacing w:after="80" w:line="252" w:lineRule="auto"/>
      </w:pPr>
      <w:r>
        <w:br w:type="page"/>
      </w:r>
    </w:p>
    <w:p>
      <w:pPr>
        <w:pStyle w:val="Heading1"/>
        <w:keepNext/>
        <w:keepLines/>
        <w:pageBreakBefore/>
        <w:widowControl/>
        <w:spacing w:before="0" w:after="160"/>
        <w:pBdr>
          <w:bottom w:val="single" w:sz="5" w:space="4" w:color="B4C6E7"/>
        </w:pBdr>
      </w:pPr>
      <w:r>
        <w:t>Глава XXXVII. Персональные данные, цифровая идентичность и тайна политического участия</w:t>
      </w:r>
    </w:p>
    <w:p>
      <w:pPr>
        <w:pStyle w:val="Heading2"/>
        <w:keepNext/>
        <w:keepLines/>
        <w:widowControl/>
      </w:pPr>
      <w:r>
        <w:t>1. Предмет и цель главы</w:t>
      </w:r>
    </w:p>
    <w:p>
      <w:pPr>
        <w:widowControl/>
        <w:spacing w:after="80" w:line="252" w:lineRule="auto"/>
        <w:jc w:val="both"/>
      </w:pPr>
      <w:r>
        <w:t>Настоящая глава устанавливает режим данных и цифровой идентичности на всех стадиях общественного поручения: подаче инициативы, поддержке, обсуждении, голосовании, жалобе, финансировании, исследовании и архивировании.</w:t>
      </w:r>
    </w:p>
    <w:p>
      <w:pPr>
        <w:widowControl/>
        <w:spacing w:after="80" w:line="252" w:lineRule="auto"/>
        <w:jc w:val="both"/>
      </w:pPr>
      <w:r>
        <w:t>Цель главы — позволить государству проверить право гражданина на участие и исключить повторное действие, не создавая технической, организационной или правовой возможности сформировать единую историю его политического поведения.</w:t>
      </w:r>
    </w:p>
    <w:p>
      <w:pPr>
        <w:pStyle w:val="Heading2"/>
        <w:keepNext/>
        <w:keepLines/>
        <w:widowControl/>
      </w:pPr>
      <w:r>
        <w:t>2. Центральный принцип структурной несвязываемости</w:t>
      </w:r>
    </w:p>
    <w:p>
      <w:pPr>
        <w:widowControl/>
        <w:spacing w:after="80" w:line="252" w:lineRule="auto"/>
        <w:jc w:val="both"/>
      </w:pPr>
      <w:r>
        <w:t>Идентификация личности, подтверждение права, выдача полномочия и политическое действие образуют разные контуры. Связь между ними не должна существовать в обычном режиме ни в одном реестре, журнале, идентификаторе, резервной копии, аналитической системе или договоре с поставщиком.</w:t>
      </w:r>
    </w:p>
    <w:p>
      <w:pPr>
        <w:widowControl/>
        <w:spacing w:after="80" w:line="252" w:lineRule="auto"/>
        <w:jc w:val="both"/>
      </w:pPr>
      <w:r>
        <w:t>Запрещается не только фактическое использование единого профиля, но и архитектура, при которой один субъект может создать его без обнаруживаемого нарушения и участия нескольких независимых держателей.</w:t>
      </w:r>
    </w:p>
    <w:p>
      <w:pPr>
        <w:pStyle w:val="Heading2"/>
        <w:keepNext/>
        <w:keepLines/>
        <w:widowControl/>
      </w:pPr>
      <w:r>
        <w:t>3. Основные определения</w:t>
      </w:r>
    </w:p>
    <w:tbl>
      <w:tblPr>
        <w:tblW w:type="auto" w:w="0"/>
        <w:jc w:val="center"/>
        <w:tblLook w:firstColumn="1" w:firstRow="1" w:lastColumn="0" w:lastRow="0" w:noHBand="0" w:noVBand="1" w:val="04A0"/>
      </w:tblPr>
      <w:tblGrid>
        <w:gridCol w:w="4916"/>
        <w:gridCol w:w="4916"/>
      </w:tblGrid>
      <w:tr>
        <w:trPr>
          <w:tblHeader w:val="true"/>
          <w:tblHeader w:val="true"/>
          <w:tblHeader w:val="true"/>
          <w:cantSplit/>
        </w:trPr>
        <w:tc>
          <w:tcPr>
            <w:tcW w:type="dxa" w:w="159"/>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Термин</w:t>
            </w:r>
          </w:p>
        </w:tc>
        <w:tc>
          <w:tcPr>
            <w:tcW w:type="dxa" w:w="408"/>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Определение</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Политическое действие</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Подача, поддержка, отзыв, обсуждение, голосование, жалоба, пожертвование либо иное действие, раскрывающее или позволяющее предположить политическую позицию.</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Структурная несвязываемость</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Свойство архитектуры, при котором обычные участники системы технически и организационно не способны установить, какое политическое действие принадлежит конкретному лицу.</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Анонимное полномочие</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Криптографически или иным проверяемым способом выданное подтверждение права совершить одно определённое действие без раскрытия личности получателя принимающему контуру.</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Одноразовый нуллификатор</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Неповторяемое значение, позволяющее отклонить повторное использование полномочия, не раскрывая личность и не связывая разные действия одного лица.</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Корреляционные метаданные</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Время, сеть, устройство, геолокация, точка обслуживания, шаблон поведения, журнал поддержки и иные косвенные признаки, способные восстановить связь личности и действия.</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Политический профиль</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Систематизированное или вероятностное описание взглядов и действий лица, группы либо его связей, сформированное из одного или нескольких источников.</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Избирательное раскрытие</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Предоставление только необходимого атрибута права — например возраста, гражданства или территории — без раскрытия полного набора идентификационных данных.</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Доказуемое уничтожение</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Процедура удаления данных и ключей с независимой проверкой, журналом исполнения и подтверждением отсутствия неучтённых копий в пределах контролируемой инфраструктуры.</w:t>
            </w:r>
          </w:p>
        </w:tc>
      </w:tr>
      <w:tr>
        <w:trPr/>
        <w:tc>
          <w:tcPr>
            <w:tcW w:type="dxa" w:w="159"/>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Испытание на повторную идентификацию</w:t>
            </w:r>
          </w:p>
        </w:tc>
        <w:tc>
          <w:tcPr>
            <w:tcW w:type="dxa" w:w="40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Заранее разрешённое испытание, направленное на повторную идентификацию, межреестровую корреляцию или восстановление политического профиля.</w:t>
            </w:r>
          </w:p>
        </w:tc>
      </w:tr>
      <w:tr>
        <w:trPr/>
        <w:tc>
          <w:tcPr>
            <w:tcW w:type="dxa" w:w="159"/>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Доверенный попечитель</w:t>
            </w:r>
          </w:p>
        </w:tc>
        <w:tc>
          <w:tcPr>
            <w:tcW w:type="dxa" w:w="40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Независимый держатель ограниченной доли ключа или полномочия, который не обладает достаточными данными для самостоятельного связывания личности и действия.</w:t>
            </w:r>
          </w:p>
        </w:tc>
      </w:tr>
    </w:tbl>
    <w:p>
      <w:pPr>
        <w:widowControl/>
        <w:spacing w:after="80" w:line="252" w:lineRule="auto"/>
      </w:pPr>
    </w:p>
    <w:p>
      <w:pPr>
        <w:pStyle w:val="Heading2"/>
        <w:keepNext/>
        <w:keepLines/>
        <w:widowControl/>
      </w:pPr>
      <w:r>
        <w:t>4. Классы данных</w:t>
      </w:r>
    </w:p>
    <w:tbl>
      <w:tblPr>
        <w:tblW w:type="auto" w:w="0"/>
        <w:jc w:val="center"/>
        <w:tblLook w:firstColumn="1" w:firstRow="1" w:lastColumn="0" w:lastRow="0" w:noHBand="0" w:noVBand="1" w:val="04A0"/>
      </w:tblPr>
      <w:tblGrid>
        <w:gridCol w:w="3277"/>
        <w:gridCol w:w="3277"/>
        <w:gridCol w:w="3277"/>
      </w:tblGrid>
      <w:tr>
        <w:trPr>
          <w:tblHeader w:val="true"/>
          <w:tblHeader w:val="true"/>
          <w:tblHeader w:val="true"/>
          <w:cantSplit/>
        </w:trPr>
        <w:tc>
          <w:tcPr>
            <w:tcW w:type="dxa" w:w="57"/>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Класс</w:t>
            </w:r>
          </w:p>
        </w:tc>
        <w:tc>
          <w:tcPr>
            <w:tcW w:type="dxa" w:w="295"/>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Содержание</w:t>
            </w:r>
          </w:p>
        </w:tc>
        <w:tc>
          <w:tcPr>
            <w:tcW w:type="dxa" w:w="215"/>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Базовый режим</w:t>
            </w:r>
          </w:p>
        </w:tc>
      </w:tr>
      <w:tr>
        <w:trPr/>
        <w:tc>
          <w:tcPr>
            <w:tcW w:type="dxa" w:w="57"/>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Д-0</w:t>
            </w:r>
          </w:p>
        </w:tc>
        <w:tc>
          <w:tcPr>
            <w:tcW w:type="dxa" w:w="295"/>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Публичные обезличенные материалы: текст инициативы, агрегированная статистика, открытая методика.</w:t>
            </w:r>
          </w:p>
        </w:tc>
        <w:tc>
          <w:tcPr>
            <w:tcW w:type="dxa" w:w="215"/>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Публичность при проверке риска повторной идентификации.</w:t>
            </w:r>
          </w:p>
        </w:tc>
      </w:tr>
      <w:tr>
        <w:trPr/>
        <w:tc>
          <w:tcPr>
            <w:tcW w:type="dxa" w:w="57"/>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Д-1</w:t>
            </w:r>
          </w:p>
        </w:tc>
        <w:tc>
          <w:tcPr>
            <w:tcW w:type="dxa" w:w="295"/>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Обычные операционные данные, не раскрывающие политическую позицию.</w:t>
            </w:r>
          </w:p>
        </w:tc>
        <w:tc>
          <w:tcPr>
            <w:tcW w:type="dxa" w:w="215"/>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Минимизация, ограниченный срок, ролевой доступ.</w:t>
            </w:r>
          </w:p>
        </w:tc>
      </w:tr>
      <w:tr>
        <w:trPr/>
        <w:tc>
          <w:tcPr>
            <w:tcW w:type="dxa" w:w="57"/>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Д-2</w:t>
            </w:r>
          </w:p>
        </w:tc>
        <w:tc>
          <w:tcPr>
            <w:tcW w:type="dxa" w:w="295"/>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Идентификационные данные, необходимые для проверки права.</w:t>
            </w:r>
          </w:p>
        </w:tc>
        <w:tc>
          <w:tcPr>
            <w:tcW w:type="dxa" w:w="215"/>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Отдельный контур; запрет передачи в контур действия.</w:t>
            </w:r>
          </w:p>
        </w:tc>
      </w:tr>
      <w:tr>
        <w:trPr/>
        <w:tc>
          <w:tcPr>
            <w:tcW w:type="dxa" w:w="57"/>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Д-3</w:t>
            </w:r>
          </w:p>
        </w:tc>
        <w:tc>
          <w:tcPr>
            <w:tcW w:type="dxa" w:w="295"/>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Данные профессионального финансирования, заказчиков и бенефициаров.</w:t>
            </w:r>
          </w:p>
        </w:tc>
        <w:tc>
          <w:tcPr>
            <w:tcW w:type="dxa" w:w="215"/>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Пороговая прозрачность; защита рядовых граждан и малых доноров.</w:t>
            </w:r>
          </w:p>
        </w:tc>
      </w:tr>
      <w:tr>
        <w:trPr/>
        <w:tc>
          <w:tcPr>
            <w:tcW w:type="dxa" w:w="57"/>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Д-4</w:t>
            </w:r>
          </w:p>
        </w:tc>
        <w:tc>
          <w:tcPr>
            <w:tcW w:type="dxa" w:w="295"/>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Содержание индивидуального политического действия и данные, прямо его раскрывающие.</w:t>
            </w:r>
          </w:p>
        </w:tc>
        <w:tc>
          <w:tcPr>
            <w:tcW w:type="dxa" w:w="215"/>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Тайна, шифрование, отсутствие связи с личностью, минимальное хранение.</w:t>
            </w:r>
          </w:p>
        </w:tc>
      </w:tr>
      <w:tr>
        <w:trPr/>
        <w:tc>
          <w:tcPr>
            <w:tcW w:type="dxa" w:w="57"/>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Д-5</w:t>
            </w:r>
          </w:p>
        </w:tc>
        <w:tc>
          <w:tcPr>
            <w:tcW w:type="dxa" w:w="295"/>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Связывающие или корреляционные данные, способные создать политический профиль.</w:t>
            </w:r>
          </w:p>
        </w:tc>
        <w:tc>
          <w:tcPr>
            <w:tcW w:type="dxa" w:w="215"/>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Архитектурный запрет создания; исключительный многосторонний доступ только по узкой законной процедуре.</w:t>
            </w:r>
          </w:p>
        </w:tc>
      </w:tr>
    </w:tbl>
    <w:p>
      <w:pPr>
        <w:widowControl/>
        <w:spacing w:after="80" w:line="252" w:lineRule="auto"/>
      </w:pPr>
    </w:p>
    <w:p>
      <w:pPr>
        <w:pStyle w:val="Heading2"/>
        <w:keepNext/>
        <w:keepLines/>
        <w:widowControl/>
      </w:pPr>
      <w:r>
        <w:t>5. Матрица данных по стадиям</w:t>
      </w:r>
    </w:p>
    <w:tbl>
      <w:tblPr>
        <w:tblW w:type="auto" w:w="0"/>
        <w:jc w:val="center"/>
        <w:tblLook w:firstColumn="1" w:firstRow="1" w:lastColumn="0" w:lastRow="0" w:noHBand="0" w:noVBand="1" w:val="04A0"/>
      </w:tblPr>
      <w:tblGrid>
        <w:gridCol w:w="3277"/>
        <w:gridCol w:w="3277"/>
        <w:gridCol w:w="3277"/>
      </w:tblGrid>
      <w:tr>
        <w:trPr>
          <w:tblHeader w:val="true"/>
          <w:tblHeader w:val="true"/>
          <w:tblHeader w:val="true"/>
          <w:cantSplit/>
        </w:trPr>
        <w:tc>
          <w:tcPr>
            <w:tcW w:type="dxa" w:w="102"/>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Стадия</w:t>
            </w:r>
          </w:p>
        </w:tc>
        <w:tc>
          <w:tcPr>
            <w:tcW w:type="dxa" w:w="266"/>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Допустимые данные</w:t>
            </w:r>
          </w:p>
        </w:tc>
        <w:tc>
          <w:tcPr>
            <w:tcW w:type="dxa" w:w="198"/>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5"/>
              </w:rPr>
              <w:t>Запрещённая связь</w:t>
            </w:r>
          </w:p>
        </w:tc>
      </w:tr>
      <w:tr>
        <w:trPr/>
        <w:tc>
          <w:tcPr>
            <w:tcW w:type="dxa" w:w="102"/>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Подача инициативы</w:t>
            </w:r>
          </w:p>
        </w:tc>
        <w:tc>
          <w:tcPr>
            <w:tcW w:type="dxa" w:w="266"/>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Минимальные данные автора для обратной связи и проверки ограничений; публичный псевдоним по выбору.</w:t>
            </w:r>
          </w:p>
        </w:tc>
        <w:tc>
          <w:tcPr>
            <w:tcW w:type="dxa" w:w="19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Авторство не связывается с последующей поддержкой и голосованием.</w:t>
            </w:r>
          </w:p>
        </w:tc>
      </w:tr>
      <w:tr>
        <w:trPr/>
        <w:tc>
          <w:tcPr>
            <w:tcW w:type="dxa" w:w="102"/>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Поддержка</w:t>
            </w:r>
          </w:p>
        </w:tc>
        <w:tc>
          <w:tcPr>
            <w:tcW w:type="dxa" w:w="266"/>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Подтверждение права и одноразовый нуллификатор; агрегированная территория при необходимости.</w:t>
            </w:r>
          </w:p>
        </w:tc>
        <w:tc>
          <w:tcPr>
            <w:tcW w:type="dxa" w:w="19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Оператор поддержки не хранит перечень поддержанных инициатив по лицу.</w:t>
            </w:r>
          </w:p>
        </w:tc>
      </w:tr>
      <w:tr>
        <w:trPr/>
        <w:tc>
          <w:tcPr>
            <w:tcW w:type="dxa" w:w="102"/>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Обсуждение</w:t>
            </w:r>
          </w:p>
        </w:tc>
        <w:tc>
          <w:tcPr>
            <w:tcW w:type="dxa" w:w="266"/>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Псевдоним, добровольно раскрытые сведения, данные модерации.</w:t>
            </w:r>
          </w:p>
        </w:tc>
        <w:tc>
          <w:tcPr>
            <w:tcW w:type="dxa" w:w="19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Журнал обсуждения не объединяется с государственным профилем личности.</w:t>
            </w:r>
          </w:p>
        </w:tc>
      </w:tr>
      <w:tr>
        <w:trPr/>
        <w:tc>
          <w:tcPr>
            <w:tcW w:type="dxa" w:w="102"/>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Финальное голосование</w:t>
            </w:r>
          </w:p>
        </w:tc>
        <w:tc>
          <w:tcPr>
            <w:tcW w:type="dxa" w:w="266"/>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Анонимное полномочие, зашифрованное действие, доказательство включения.</w:t>
            </w:r>
          </w:p>
        </w:tc>
        <w:tc>
          <w:tcPr>
            <w:tcW w:type="dxa" w:w="19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Идентификационный контур не знает содержания; контур голоса не знает личности.</w:t>
            </w:r>
          </w:p>
        </w:tc>
      </w:tr>
      <w:tr>
        <w:trPr/>
        <w:tc>
          <w:tcPr>
            <w:tcW w:type="dxa" w:w="102"/>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Жалоба</w:t>
            </w:r>
          </w:p>
        </w:tc>
        <w:tc>
          <w:tcPr>
            <w:tcW w:type="dxa" w:w="266"/>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Контакт заявителя в отдельном деле; предмет и доказательства.</w:t>
            </w:r>
          </w:p>
        </w:tc>
        <w:tc>
          <w:tcPr>
            <w:tcW w:type="dxa" w:w="19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Жалоба не добавляется в общий политический профиль и не влияет на услуги государства.</w:t>
            </w:r>
          </w:p>
        </w:tc>
      </w:tr>
      <w:tr>
        <w:trPr/>
        <w:tc>
          <w:tcPr>
            <w:tcW w:type="dxa" w:w="102"/>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Финансирование</w:t>
            </w:r>
          </w:p>
        </w:tc>
        <w:tc>
          <w:tcPr>
            <w:tcW w:type="dxa" w:w="266"/>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Крупный профессиональный заказчик, бенефициар, сумма/диапазон.</w:t>
            </w:r>
          </w:p>
        </w:tc>
        <w:tc>
          <w:tcPr>
            <w:tcW w:type="dxa" w:w="198"/>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5"/>
              </w:rPr>
              <w:t>Малые пожертвования и обычная поддержка не публикуются поимённо без строгой необходимости.</w:t>
            </w:r>
          </w:p>
        </w:tc>
      </w:tr>
      <w:tr>
        <w:trPr/>
        <w:tc>
          <w:tcPr>
            <w:tcW w:type="dxa" w:w="102"/>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Исследование</w:t>
            </w:r>
          </w:p>
        </w:tc>
        <w:tc>
          <w:tcPr>
            <w:tcW w:type="dxa" w:w="266"/>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Статистически защищённые агрегаты или контролируемая среда.</w:t>
            </w:r>
          </w:p>
        </w:tc>
        <w:tc>
          <w:tcPr>
            <w:tcW w:type="dxa" w:w="198"/>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5"/>
              </w:rPr>
              <w:t>Запрещён доступ к строковым данным, позволяющим восстановить лицо или последовательность действий.</w:t>
            </w:r>
          </w:p>
        </w:tc>
      </w:tr>
    </w:tbl>
    <w:p>
      <w:pPr>
        <w:widowControl/>
        <w:spacing w:after="80" w:line="252" w:lineRule="auto"/>
      </w:pPr>
    </w:p>
    <w:p>
      <w:pPr>
        <w:pStyle w:val="Heading2"/>
        <w:keepNext/>
        <w:keepLines/>
        <w:widowControl/>
      </w:pPr>
      <w:r>
        <w:t>6. Разделение идентификации, права и действия</w:t>
      </w:r>
    </w:p>
    <w:p>
      <w:pPr>
        <w:widowControl/>
        <w:spacing w:after="80" w:line="252" w:lineRule="auto"/>
        <w:jc w:val="both"/>
      </w:pPr>
      <w:r>
        <w:t>Контур идентификации устанавливает личность только в объёме, необходимом для подтверждения права. Он выдаёт отделённому контуру подтверждение атрибута или право получить анонимное полномочие, но не получает сведения о том, было ли и как оно использовано.</w:t>
      </w:r>
    </w:p>
    <w:p>
      <w:pPr>
        <w:widowControl/>
        <w:spacing w:after="80" w:line="252" w:lineRule="auto"/>
        <w:jc w:val="both"/>
      </w:pPr>
      <w:r>
        <w:t>Контур действия проверяет действительность и неиспользованность полномочия, но не запрашивает личность, полный идентификатор, документ, телефон, биометрию или учётную запись государственного сервиса.</w:t>
      </w:r>
    </w:p>
    <w:p>
      <w:pPr>
        <w:pStyle w:val="Heading2"/>
        <w:keepNext/>
        <w:keepLines/>
        <w:widowControl/>
      </w:pPr>
      <w:r>
        <w:t>7. Анонимное одноразовое полномочие</w:t>
      </w:r>
    </w:p>
    <w:p>
      <w:pPr>
        <w:widowControl/>
        <w:spacing w:after="80" w:line="252" w:lineRule="auto"/>
        <w:jc w:val="both"/>
      </w:pPr>
      <w:r>
        <w:t>Для каждого типа действия выдаётся отдельное непередаваемое полномочие с ограниченным назначением и сроком. Использование одного полномочия не позволяет связать между собой разные инициативы, этапы или циклы.</w:t>
      </w:r>
    </w:p>
    <w:p>
      <w:pPr>
        <w:widowControl/>
        <w:spacing w:after="80" w:line="252" w:lineRule="auto"/>
        <w:jc w:val="both"/>
      </w:pPr>
      <w:r>
        <w:t>Одноразовый нуллификатор предотвращает повторное действие, но не является постоянным псевдонимом гражданина. Схема его формирования публикуется и проходит независимую криптографическую проверку.</w:t>
      </w:r>
    </w:p>
    <w:p>
      <w:pPr>
        <w:pStyle w:val="Heading2"/>
        <w:keepNext/>
        <w:keepLines/>
        <w:widowControl/>
      </w:pPr>
      <w:r>
        <w:t>8. Запрет единого политического профиля</w:t>
      </w:r>
    </w:p>
    <w:p>
      <w:pPr>
        <w:widowControl/>
        <w:spacing w:after="80" w:line="252" w:lineRule="auto"/>
        <w:jc w:val="both"/>
      </w:pPr>
      <w:r>
        <w:t>Запрещается:</w:t>
      </w:r>
    </w:p>
    <w:p>
      <w:pPr>
        <w:pStyle w:val="ListBullet"/>
        <w:spacing w:after="40" w:line="240" w:lineRule="auto"/>
        <w:widowControl/>
      </w:pPr>
      <w:r>
        <w:t>создавать реестр политических действий, предпочтений, поддержек, жалоб, просмотров или обсуждений по конкретному лицу;</w:t>
      </w:r>
    </w:p>
    <w:p>
      <w:pPr>
        <w:pStyle w:val="ListBullet"/>
        <w:spacing w:after="40" w:line="240" w:lineRule="auto"/>
        <w:widowControl/>
      </w:pPr>
      <w:r>
        <w:t>объединять данные Доктрины с налоговыми, трудовыми, социальными, кредитными, миграционными, медицинскими, образовательными, рекламными или правоохранительными профилями;</w:t>
      </w:r>
    </w:p>
    <w:p>
      <w:pPr>
        <w:pStyle w:val="ListBullet"/>
        <w:spacing w:after="40" w:line="240" w:lineRule="auto"/>
        <w:widowControl/>
      </w:pPr>
      <w:r>
        <w:t>выводить политические взгляды гражданина для принятия индивидуального решения государством, работодателем, банком, страховщиком, платформой или поставщиком услуг;</w:t>
      </w:r>
    </w:p>
    <w:p>
      <w:pPr>
        <w:pStyle w:val="ListBullet"/>
        <w:spacing w:after="40" w:line="240" w:lineRule="auto"/>
        <w:widowControl/>
      </w:pPr>
      <w:r>
        <w:t>использовать данные родственников, контактов, устройств и местоположения для вероятностного политического профилирования;</w:t>
      </w:r>
    </w:p>
    <w:p>
      <w:pPr>
        <w:pStyle w:val="ListBullet"/>
        <w:spacing w:after="40" w:line="240" w:lineRule="auto"/>
        <w:widowControl/>
      </w:pPr>
      <w:r>
        <w:t>продавать, передавать или предоставлять политические данные рекламным и аналитическим системам;</w:t>
      </w:r>
    </w:p>
    <w:p>
      <w:pPr>
        <w:pStyle w:val="ListBullet"/>
        <w:spacing w:after="40" w:line="240" w:lineRule="auto"/>
        <w:widowControl/>
      </w:pPr>
      <w:r>
        <w:t>создавать скрытый постоянный идентификатор, общий для нескольких стадий или циклов.</w:t>
      </w:r>
    </w:p>
    <w:p>
      <w:pPr>
        <w:pStyle w:val="Heading2"/>
        <w:keepNext/>
        <w:keepLines/>
        <w:widowControl/>
      </w:pPr>
      <w:r>
        <w:t>9. Метаданные и корреляционные атаки</w:t>
      </w:r>
    </w:p>
    <w:p>
      <w:pPr>
        <w:widowControl/>
        <w:spacing w:after="80" w:line="252" w:lineRule="auto"/>
        <w:jc w:val="both"/>
      </w:pPr>
      <w:r>
        <w:t>Защита содержания криптографией не считается достаточной, если связь можно восстановить по времени, IP-адресу, устройству, геолокации, точке обслуживания, размеру сообщения, журналу технической поддержки или резервной копии.</w:t>
      </w:r>
    </w:p>
    <w:p>
      <w:pPr>
        <w:widowControl/>
        <w:spacing w:after="80" w:line="252" w:lineRule="auto"/>
        <w:jc w:val="both"/>
      </w:pPr>
      <w:r>
        <w:t>Применяются временное перемешивание, пакетная обработка, минимизация сетевых журналов, независимые прокси или аналогичные меры, запрет сквозной телеметрии и раздельные поставщики там, где один подрядчик мог бы видеть оба контура.</w:t>
      </w:r>
    </w:p>
    <w:p>
      <w:pPr>
        <w:pStyle w:val="Heading2"/>
        <w:keepNext/>
        <w:keepLines/>
        <w:widowControl/>
      </w:pPr>
      <w:r>
        <w:t>10. Биометрия</w:t>
      </w:r>
    </w:p>
    <w:p>
      <w:pPr>
        <w:widowControl/>
        <w:spacing w:after="80" w:line="252" w:lineRule="auto"/>
        <w:jc w:val="both"/>
      </w:pPr>
      <w:r>
        <w:t>Биометрия не используется как универсальный идентификатор политического участия и не хранится в системе Доктрины. Допустимо обращение к уже существующему законному идентификационному сервису только для подтверждения права, без передачи биометрического шаблона и без возможности установить последующее политическое действие.</w:t>
      </w:r>
    </w:p>
    <w:p>
      <w:pPr>
        <w:widowControl/>
        <w:spacing w:after="80" w:line="252" w:lineRule="auto"/>
        <w:jc w:val="both"/>
      </w:pPr>
      <w:r>
        <w:t>Гражданину предоставляется полноценная небиометрическая альтернатива. Отказ от биометрии не должен ухудшать доступность, скорость или правовую силу участия.</w:t>
      </w:r>
    </w:p>
    <w:p>
      <w:pPr>
        <w:pStyle w:val="Heading2"/>
        <w:keepNext/>
        <w:keepLines/>
        <w:widowControl/>
      </w:pPr>
      <w:r>
        <w:t>11. Сроки хранения и доказуемое уничтожение</w:t>
      </w:r>
    </w:p>
    <w:p>
      <w:pPr>
        <w:widowControl/>
        <w:spacing w:after="80" w:line="252" w:lineRule="auto"/>
        <w:jc w:val="both"/>
      </w:pPr>
      <w:r>
        <w:t>Для каждого набора данных до запуска устанавливаются цель, минимальный срок, событие уничтожения, ответственный субъект и способ независимой проверки. Срок не может продлеваться общим решением исполнительной власти.</w:t>
      </w:r>
    </w:p>
    <w:p>
      <w:pPr>
        <w:widowControl/>
        <w:spacing w:after="80" w:line="252" w:lineRule="auto"/>
        <w:jc w:val="both"/>
      </w:pPr>
      <w:r>
        <w:t>Связывающие данные и временные технические ключи уничтожаются сразу после выполнения узкой функции, если их хранение не требуется для конкретного открытого спора. Резервные копии учитываются тем же правилом и не могут служить скрытым архивом.</w:t>
      </w:r>
    </w:p>
    <w:p>
      <w:pPr>
        <w:pStyle w:val="Heading2"/>
        <w:keepNext/>
        <w:keepLines/>
        <w:widowControl/>
      </w:pPr>
      <w:r>
        <w:t>12. Авторы инициатив</w:t>
      </w:r>
    </w:p>
    <w:p>
      <w:pPr>
        <w:widowControl/>
        <w:spacing w:after="80" w:line="252" w:lineRule="auto"/>
        <w:jc w:val="both"/>
      </w:pPr>
      <w:r>
        <w:t>Личность автора может быть проверена непублично, если это необходимо для предотвращения фиктивной подачи, конфликта интересов или скрытого профессионального заказчика. Публично автор вправе использовать псевдоним, кроме случаев добровольного представительства кампании.</w:t>
      </w:r>
    </w:p>
    <w:p>
      <w:pPr>
        <w:widowControl/>
        <w:spacing w:after="80" w:line="252" w:lineRule="auto"/>
        <w:jc w:val="both"/>
      </w:pPr>
      <w:r>
        <w:t>Данные автора не используются для проверки благонадёжности, давления, отказа в услуге или поиска его иных политических действий.</w:t>
      </w:r>
    </w:p>
    <w:p>
      <w:pPr>
        <w:widowControl/>
      </w:pPr>
      <w:r>
        <w:t>Защищённый маршрут не требует постоянного реестра политической или социальной идентичности. Достаточны доказательства объективного воздействия на право либо структурного барьера, рассматриваемые конфиденциально и удаляемые после завершения проверки.</w:t>
      </w:r>
    </w:p>
    <w:p>
      <w:pPr>
        <w:pStyle w:val="Heading2"/>
        <w:keepNext/>
        <w:keepLines/>
        <w:widowControl/>
      </w:pPr>
      <w:r>
        <w:t>13. Поддержавшие, участники обсуждения и жалобщики</w:t>
      </w:r>
    </w:p>
    <w:p>
      <w:pPr>
        <w:widowControl/>
        <w:spacing w:after="80" w:line="252" w:lineRule="auto"/>
        <w:jc w:val="both"/>
      </w:pPr>
      <w:r>
        <w:t>Перечень поддержавших не публикуется и не передаётся автору, государственному органу, работодателю или кампании. Публичной является только статистика, прошедшая проверку малых групп и повторной идентификации.</w:t>
      </w:r>
    </w:p>
    <w:p>
      <w:pPr>
        <w:widowControl/>
        <w:spacing w:after="80" w:line="252" w:lineRule="auto"/>
        <w:jc w:val="both"/>
      </w:pPr>
      <w:r>
        <w:t>Жалоба и участие в обсуждении не должны автоматически раскрывать гражданскую позицию. Модерация отделяется от идентификационного реестра, а история дисциплинарных решений не превращается в общий рейтинг гражданина.</w:t>
      </w:r>
    </w:p>
    <w:p>
      <w:pPr>
        <w:pStyle w:val="Heading2"/>
        <w:keepNext/>
        <w:keepLines/>
        <w:widowControl/>
      </w:pPr>
      <w:r>
        <w:t>14. Доноры и профессиональное влияние</w:t>
      </w:r>
    </w:p>
    <w:p>
      <w:pPr>
        <w:widowControl/>
        <w:spacing w:after="80" w:line="252" w:lineRule="auto"/>
        <w:jc w:val="both"/>
      </w:pPr>
      <w:r>
        <w:t>Прозрачность распространяется на существенное профессиональное финансирование, конечного бенефициара, связанную координацию и расходы на массовую кампанию. Рядовые сторонники и малые доноры защищаются от публичного поимённого раскрытия, если иное не требуется строгим общим законом.</w:t>
      </w:r>
    </w:p>
    <w:p>
      <w:pPr>
        <w:widowControl/>
        <w:spacing w:after="80" w:line="252" w:lineRule="auto"/>
        <w:jc w:val="both"/>
      </w:pPr>
      <w:r>
        <w:t>Антидробительные правила применяются к связанным профессиональным плательщикам с правом опровержения и не дают основания объединять независимые малые пожертвования в политическое досье.</w:t>
      </w:r>
    </w:p>
    <w:p>
      <w:pPr>
        <w:widowControl/>
      </w:pPr>
      <w:r>
        <w:t>Независимые малые доноры не агрегируются в политический профиль. Раскрываются профессиональная организация, существенная координация и конечный бенефициар выше порога; презумпция независимости может быть опровергнута только доказательствами связи.</w:t>
      </w:r>
    </w:p>
    <w:p>
      <w:pPr>
        <w:pStyle w:val="Heading2"/>
        <w:keepNext/>
        <w:keepLines/>
        <w:widowControl/>
      </w:pPr>
      <w:r>
        <w:t>15. Исследовательский доступ</w:t>
      </w:r>
    </w:p>
    <w:p>
      <w:pPr>
        <w:widowControl/>
        <w:spacing w:after="80" w:line="252" w:lineRule="auto"/>
        <w:jc w:val="both"/>
      </w:pPr>
      <w:r>
        <w:t>Исследование проводится на агрегированных данных, через дифференциально защищённые публикации либо в контролируемой среде, где запрещён экспорт строковых записей и попытки повторной идентификации.</w:t>
      </w:r>
    </w:p>
    <w:p>
      <w:pPr>
        <w:widowControl/>
        <w:spacing w:after="80" w:line="252" w:lineRule="auto"/>
        <w:jc w:val="both"/>
      </w:pPr>
      <w:r>
        <w:t>Проект проходит независимую оценку необходимости и риска. Научная ценность сама по себе не оправдывает доступ к связывающим данным или истории политических действий конкретного лица.</w:t>
      </w:r>
    </w:p>
    <w:p>
      <w:pPr>
        <w:pStyle w:val="Heading2"/>
        <w:keepNext/>
        <w:keepLines/>
        <w:widowControl/>
      </w:pPr>
      <w:r>
        <w:t>16. Искусственный интеллект и автоматизированная аналитика</w:t>
      </w:r>
    </w:p>
    <w:p>
      <w:pPr>
        <w:widowControl/>
        <w:spacing w:after="80" w:line="252" w:lineRule="auto"/>
        <w:jc w:val="both"/>
      </w:pPr>
      <w:r>
        <w:t>Запрещается применять машинное обучение или иную аналитику для вывода политических взглядов конкретного лица, прогноза его голосования, оценки лояльности либо персонализированного воздействия на основании данных Доктрины.</w:t>
      </w:r>
    </w:p>
    <w:p>
      <w:pPr>
        <w:widowControl/>
        <w:spacing w:after="80" w:line="252" w:lineRule="auto"/>
        <w:jc w:val="both"/>
      </w:pPr>
      <w:r>
        <w:t>Автоматизированные средства могут использоваться для обнаружения технических аномалий, спама и дублирования только при минимизации данных, контроле ложных срабатываний, объяснимой процедуре и невозможности использовать результат как доказательство политической неблагонадёжности.</w:t>
      </w:r>
    </w:p>
    <w:p>
      <w:pPr>
        <w:widowControl/>
      </w:pPr>
      <w:r>
        <w:t>Автоматизированные антифрод-системы не могут окончательно лишать участия. Требуются проверка человеком, объяснение, исправление и регулярный аудит ошибок; запрещается повторное использование модели для политического прогнозирования.</w:t>
      </w:r>
    </w:p>
    <w:p>
      <w:pPr>
        <w:pStyle w:val="Heading2"/>
        <w:keepNext/>
        <w:keepLines/>
        <w:widowControl/>
      </w:pPr>
      <w:r>
        <w:t>17. Межведомственная передача</w:t>
      </w:r>
    </w:p>
    <w:p>
      <w:pPr>
        <w:widowControl/>
        <w:spacing w:after="80" w:line="252" w:lineRule="auto"/>
        <w:jc w:val="both"/>
      </w:pPr>
      <w:r>
        <w:t>Передача персональных или связывающих данных между органами запрещена по умолчанию. Общая ссылка на государственную безопасность, профилактику правонарушений, статистику или межведомственную эффективность не является достаточным основанием.</w:t>
      </w:r>
    </w:p>
    <w:p>
      <w:pPr>
        <w:widowControl/>
        <w:spacing w:after="80" w:line="252" w:lineRule="auto"/>
        <w:jc w:val="both"/>
      </w:pPr>
      <w:r>
        <w:t>Каждый разрешённый обмен должен иметь конкретную цель, закрытый состав полей, срок, независимый журнал, запрет вторичного использования и последующее уведомление затронутого лица, если оно не создаёт доказуемый риск непосредственному расследованию.</w:t>
      </w:r>
    </w:p>
    <w:p>
      <w:pPr>
        <w:pStyle w:val="Heading2"/>
        <w:keepNext/>
        <w:keepLines/>
        <w:widowControl/>
      </w:pPr>
      <w:r>
        <w:t>18. Исключительный многосторонний доступ</w:t>
      </w:r>
    </w:p>
    <w:p>
      <w:pPr>
        <w:widowControl/>
        <w:spacing w:after="80" w:line="252" w:lineRule="auto"/>
        <w:jc w:val="both"/>
      </w:pPr>
      <w:r>
        <w:t>Доступ к данным, способным восстановить связь личности и политического действия, допускается только для расследования конкретного тяжкого вмешательства в процедуру, когда менее ограничивающие права и приватность средства явно недостаточны.</w:t>
      </w:r>
    </w:p>
    <w:p>
      <w:pPr>
        <w:widowControl/>
        <w:spacing w:after="80" w:line="252" w:lineRule="auto"/>
        <w:jc w:val="both"/>
      </w:pPr>
      <w:r>
        <w:t>Требуются одновременно: судебное решение; участие органа защиты данных; технического попечителя; а в предусмотренной национальным правом форме — независимого парламентского или общественного контролёра. Ни один участник не обладает полной связью самостоятельно.</w:t>
      </w:r>
    </w:p>
    <w:p>
      <w:pPr>
        <w:widowControl/>
        <w:spacing w:after="80" w:line="252" w:lineRule="auto"/>
        <w:jc w:val="both"/>
      </w:pPr>
      <w:r>
        <w:t>Массовое раскрытие, превентивный поиск по всему корпусу или сохранение восстановленной связи после достижения узкой цели запрещаются.</w:t>
      </w:r>
    </w:p>
    <w:p>
      <w:pPr>
        <w:pStyle w:val="Heading2"/>
        <w:keepNext/>
        <w:keepLines/>
        <w:widowControl/>
      </w:pPr>
      <w:r>
        <w:t>19. Подрядчики и трансграничная обработка</w:t>
      </w:r>
    </w:p>
    <w:p>
      <w:pPr>
        <w:widowControl/>
        <w:spacing w:after="80" w:line="252" w:lineRule="auto"/>
        <w:jc w:val="both"/>
      </w:pPr>
      <w:r>
        <w:t>Подрядчик действует только по документированному поручению, не использует данные в собственных целях, не обучает на них модели, не сохраняет телеметрию и не привлекает субподрядчика без предварительного раскрытия и равноценного режима.</w:t>
      </w:r>
    </w:p>
    <w:p>
      <w:pPr>
        <w:widowControl/>
        <w:spacing w:after="80" w:line="252" w:lineRule="auto"/>
        <w:jc w:val="both"/>
      </w:pPr>
      <w:r>
        <w:t>Трансграничная обработка допускается лишь при доказанном эквивалентном уровне защиты, возможности аудита, ограничении доступа иностранных властей и отсутствии риска, что единый зарубежный поставщик увидит идентификационный и политический контуры одновременно.</w:t>
      </w:r>
    </w:p>
    <w:p>
      <w:pPr>
        <w:pStyle w:val="Heading2"/>
        <w:keepNext/>
        <w:keepLines/>
        <w:widowControl/>
      </w:pPr>
      <w:r>
        <w:t>20. Инцидент с политическими данными</w:t>
      </w:r>
    </w:p>
    <w:p>
      <w:pPr>
        <w:widowControl/>
        <w:spacing w:after="80" w:line="252" w:lineRule="auto"/>
        <w:jc w:val="both"/>
      </w:pPr>
      <w:r>
        <w:t>При утечке, незаконной корреляции или подозрении на повторную идентификацию немедленно прекращается затронутая обработка, отзываются полномочия и ключи, сохраняются доказательства, проводится независимая экспертиза политической приватности и оценивается необходимость остановки соответствующего канала.</w:t>
      </w:r>
    </w:p>
    <w:p>
      <w:pPr>
        <w:widowControl/>
        <w:spacing w:after="80" w:line="252" w:lineRule="auto"/>
        <w:jc w:val="both"/>
      </w:pPr>
      <w:r>
        <w:t>Граждане уведомляются без неоправданной задержки, если уведомление не создаёт большего непосредственного вреда. Сообщение раскрывает тип данных, возможные последствия, защитные действия и порядок компенсации.</w:t>
      </w:r>
    </w:p>
    <w:p>
      <w:pPr>
        <w:widowControl/>
      </w:pPr>
      <w:r>
        <w:t>Долговременные архивные данные периодически переоцениваются на риск будущей повторной идентификации. Ненужные микроданные уничтожаются, агрегаты мигрируют в более защищённую форму, а внешние реестры включаются в модель угроз.</w:t>
      </w:r>
    </w:p>
    <w:p>
      <w:pPr>
        <w:widowControl/>
      </w:pPr>
      <w:r>
        <w:t>Равенство проверяется двухконтурно: публичными безопасными агрегатами и закрытым независимым аудитом малых групп без экспорта строковых данных.</w:t>
      </w:r>
    </w:p>
    <w:p>
      <w:pPr>
        <w:pStyle w:val="Heading2"/>
        <w:keepNext/>
        <w:keepLines/>
        <w:widowControl/>
      </w:pPr>
      <w:r>
        <w:t>21. Независимая оценка воздействия</w:t>
      </w:r>
    </w:p>
    <w:p>
      <w:pPr>
        <w:widowControl/>
        <w:spacing w:after="80" w:line="252" w:lineRule="auto"/>
        <w:jc w:val="both"/>
      </w:pPr>
      <w:r>
        <w:t>До запуска и после каждого существенного изменения проводится оценка воздействия на политическую приватность, включающая карту потоков, доверительные границы, поставщиков, журналы, резервные копии, метаданные, угрозы одновременного захвата и сценарий недобросовестной власти через двадцать лет.</w:t>
      </w:r>
    </w:p>
    <w:p>
      <w:pPr>
        <w:widowControl/>
        <w:spacing w:after="80" w:line="252" w:lineRule="auto"/>
        <w:jc w:val="both"/>
      </w:pPr>
      <w:r>
        <w:t>Оценка публикуется, за исключением ограниченных технических деталей. Неустранённый критический риск является основанием запрета или ограничения функции, а не декларацией о принятии риска оператором.</w:t>
      </w:r>
    </w:p>
    <w:p>
      <w:pPr>
        <w:pStyle w:val="Heading2"/>
        <w:keepNext/>
        <w:keepLines/>
        <w:widowControl/>
      </w:pPr>
      <w:r>
        <w:t>22. Корреляционные испытания и испытания на повторную идентификацию</w:t>
      </w:r>
    </w:p>
    <w:p>
      <w:pPr>
        <w:widowControl/>
        <w:spacing w:after="80" w:line="252" w:lineRule="auto"/>
        <w:jc w:val="both"/>
      </w:pPr>
      <w:r>
        <w:t>Независимые красные команды регулярно пытаются восстановить связь по времени, сети, устройству, геолокации, точке обслуживания, журналу поддержки, резервной копии, поведению и внешним государственным реестрам.</w:t>
      </w:r>
    </w:p>
    <w:p>
      <w:pPr>
        <w:widowControl/>
        <w:spacing w:after="80" w:line="252" w:lineRule="auto"/>
        <w:jc w:val="both"/>
      </w:pPr>
      <w:r>
        <w:t>Успешная воспроизводимая атака классифицируется как существенный дефект. До её устранения затронутый цифровой канал не может создавать юридически значимый результат.</w:t>
      </w:r>
    </w:p>
    <w:p>
      <w:pPr>
        <w:pStyle w:val="Heading2"/>
        <w:keepNext/>
        <w:keepLines/>
        <w:widowControl/>
      </w:pPr>
      <w:r>
        <w:t>23. Права гражданина</w:t>
      </w:r>
    </w:p>
    <w:p>
      <w:pPr>
        <w:widowControl/>
        <w:spacing w:after="80" w:line="252" w:lineRule="auto"/>
        <w:jc w:val="both"/>
      </w:pPr>
      <w:r>
        <w:t>Гражданин имеет право:</w:t>
      </w:r>
    </w:p>
    <w:p>
      <w:pPr>
        <w:pStyle w:val="ListBullet"/>
        <w:spacing w:after="40" w:line="240" w:lineRule="auto"/>
        <w:widowControl/>
      </w:pPr>
      <w:r>
        <w:t>получить понятное описание того, какие данные используются на каждой стадии и почему;</w:t>
      </w:r>
    </w:p>
    <w:p>
      <w:pPr>
        <w:pStyle w:val="ListBullet"/>
        <w:spacing w:after="40" w:line="240" w:lineRule="auto"/>
        <w:widowControl/>
      </w:pPr>
      <w:r>
        <w:t>участвовать через альтернативный канал без принуждения к биометрии, коммерческой платформе или постоянной цифровой учётной записи;</w:t>
      </w:r>
    </w:p>
    <w:p>
      <w:pPr>
        <w:pStyle w:val="ListBullet"/>
        <w:spacing w:after="40" w:line="240" w:lineRule="auto"/>
        <w:widowControl/>
      </w:pPr>
      <w:r>
        <w:t>доступ к своим идентификационным и операционным данным, но не к передаваемой квитанции содержания тайного выбора;</w:t>
      </w:r>
    </w:p>
    <w:p>
      <w:pPr>
        <w:pStyle w:val="ListBullet"/>
        <w:spacing w:after="40" w:line="240" w:lineRule="auto"/>
        <w:widowControl/>
      </w:pPr>
      <w:r>
        <w:t>исправить ошибку в праве участия и оспорить автоматизированное решение;</w:t>
      </w:r>
    </w:p>
    <w:p>
      <w:pPr>
        <w:pStyle w:val="ListBullet"/>
        <w:spacing w:after="40" w:line="240" w:lineRule="auto"/>
        <w:widowControl/>
      </w:pPr>
      <w:r>
        <w:t>узнать о неправомерном раскрытии, если временная законная отсрочка закончилась;</w:t>
      </w:r>
    </w:p>
    <w:p>
      <w:pPr>
        <w:pStyle w:val="ListBullet"/>
        <w:spacing w:after="40" w:line="240" w:lineRule="auto"/>
        <w:widowControl/>
      </w:pPr>
      <w:r>
        <w:t>потребовать удаления данных по истечении установленной цели и получить подтверждение исполнения;</w:t>
      </w:r>
    </w:p>
    <w:p>
      <w:pPr>
        <w:pStyle w:val="ListBullet"/>
        <w:spacing w:after="40" w:line="240" w:lineRule="auto"/>
        <w:widowControl/>
      </w:pPr>
      <w:r>
        <w:t>компенсацию за материальный и нематериальный вред, причинённый незаконным профилированием или раскрытием;</w:t>
      </w:r>
    </w:p>
    <w:p>
      <w:pPr>
        <w:pStyle w:val="ListBullet"/>
        <w:spacing w:after="40" w:line="240" w:lineRule="auto"/>
        <w:widowControl/>
      </w:pPr>
      <w:r>
        <w:t>не подвергаться неблагоприятному выводу из отказа раскрыть политическую позицию или из неучастия.</w:t>
      </w:r>
    </w:p>
    <w:p>
      <w:pPr>
        <w:widowControl/>
      </w:pPr>
      <w:r>
        <w:t>Если кворум институциональной независимости утрачен, обработка не может подтверждать официальный мандат или иной юридически значимый результат. Самоподтверждение взаимозависимых органов не считается независимым контролем.</w:t>
      </w:r>
    </w:p>
    <w:p>
      <w:pPr>
        <w:pStyle w:val="Heading2"/>
        <w:keepNext/>
        <w:keepLines/>
        <w:widowControl/>
      </w:pPr>
      <w:r>
        <w:t>24. Независимый надзор</w:t>
      </w:r>
    </w:p>
    <w:p>
      <w:pPr>
        <w:widowControl/>
        <w:spacing w:after="80" w:line="252" w:lineRule="auto"/>
        <w:jc w:val="both"/>
      </w:pPr>
      <w:r>
        <w:t>Надзор осуществляет существующий независимый орган защиты данных либо функционально эквивалентный субъект, отделённый от оператора, органов безопасности, избирательной администрации и политического адресата.</w:t>
      </w:r>
    </w:p>
    <w:p>
      <w:pPr>
        <w:widowControl/>
        <w:spacing w:after="80" w:line="252" w:lineRule="auto"/>
        <w:jc w:val="both"/>
      </w:pPr>
      <w:r>
        <w:t>Он вправе проводить аудит без предварительного уведомления, требовать остановки обработки, обращаться в суд, публиковать заключения, защищать коллективные интересы и проверять доказательство уничтожения.</w:t>
      </w:r>
    </w:p>
    <w:p>
      <w:pPr>
        <w:pStyle w:val="Heading2"/>
        <w:keepNext/>
        <w:keepLines/>
        <w:widowControl/>
      </w:pPr>
      <w:r>
        <w:t>25. Ответственность</w:t>
      </w:r>
    </w:p>
    <w:p>
      <w:pPr>
        <w:widowControl/>
        <w:spacing w:after="80" w:line="252" w:lineRule="auto"/>
        <w:jc w:val="both"/>
      </w:pPr>
      <w:r>
        <w:t>Особо тяжкими нарушениями являются:</w:t>
      </w:r>
    </w:p>
    <w:p>
      <w:pPr>
        <w:pStyle w:val="ListBullet"/>
        <w:spacing w:after="40" w:line="240" w:lineRule="auto"/>
        <w:widowControl/>
      </w:pPr>
      <w:r>
        <w:t>умышленное связывание личности и тайного политического действия;</w:t>
      </w:r>
    </w:p>
    <w:p>
      <w:pPr>
        <w:pStyle w:val="ListBullet"/>
        <w:spacing w:after="40" w:line="240" w:lineRule="auto"/>
        <w:widowControl/>
      </w:pPr>
      <w:r>
        <w:t>создание или использование единого политического профиля;</w:t>
      </w:r>
    </w:p>
    <w:p>
      <w:pPr>
        <w:pStyle w:val="ListBullet"/>
        <w:spacing w:after="40" w:line="240" w:lineRule="auto"/>
        <w:widowControl/>
      </w:pPr>
      <w:r>
        <w:t>передача политических данных для трудового, налогового, социального, кредитного, рекламного, миграционного или правоохранительного решения;</w:t>
      </w:r>
    </w:p>
    <w:p>
      <w:pPr>
        <w:pStyle w:val="ListBullet"/>
        <w:spacing w:after="40" w:line="240" w:lineRule="auto"/>
        <w:widowControl/>
      </w:pPr>
      <w:r>
        <w:t>скрытое сохранение резервной копии, журнала или постоянного идентификатора;</w:t>
      </w:r>
    </w:p>
    <w:p>
      <w:pPr>
        <w:pStyle w:val="ListBullet"/>
        <w:spacing w:after="40" w:line="240" w:lineRule="auto"/>
        <w:widowControl/>
      </w:pPr>
      <w:r>
        <w:t>ложное доказательство уничтожения;</w:t>
      </w:r>
    </w:p>
    <w:p>
      <w:pPr>
        <w:pStyle w:val="ListBullet"/>
        <w:spacing w:after="40" w:line="240" w:lineRule="auto"/>
        <w:widowControl/>
      </w:pPr>
      <w:r>
        <w:t>несанкционированный межреестровый поиск либо повторная идентификация;</w:t>
      </w:r>
    </w:p>
    <w:p>
      <w:pPr>
        <w:pStyle w:val="ListBullet"/>
        <w:spacing w:after="40" w:line="240" w:lineRule="auto"/>
        <w:widowControl/>
      </w:pPr>
      <w:r>
        <w:t>использование исключения безопасности для массовой обработки без конкретного дела;</w:t>
      </w:r>
    </w:p>
    <w:p>
      <w:pPr>
        <w:pStyle w:val="ListBullet"/>
        <w:spacing w:after="40" w:line="240" w:lineRule="auto"/>
        <w:widowControl/>
      </w:pPr>
      <w:r>
        <w:t>преследование автора, сторонника, жалобщика, донора или участника обсуждения по данным Доктрины.</w:t>
      </w:r>
    </w:p>
    <w:p>
      <w:pPr>
        <w:widowControl/>
        <w:spacing w:after="80" w:line="252" w:lineRule="auto"/>
        <w:jc w:val="both"/>
      </w:pPr>
      <w:r>
        <w:t>Национальная адаптация устанавливает эффективные административные, гражданские и, для умышленных тяжких составов, уголовные последствия. Должностная инструкция или приказ не освобождают от ответственности за явно незаконное профилирование.</w:t>
      </w:r>
    </w:p>
    <w:p>
      <w:pPr>
        <w:pStyle w:val="Heading2"/>
        <w:keepNext/>
        <w:keepLines/>
        <w:widowControl/>
      </w:pPr>
      <w:r>
        <w:t>26. Чрезвычайные режимы</w:t>
      </w:r>
    </w:p>
    <w:p>
      <w:pPr>
        <w:widowControl/>
      </w:pPr>
      <w:r>
        <w:t>Чрезвычайное положение не отменяет структурную несвязываемость. Все исключения включаются в единый чрезвычайный реестр и общий кумулятивный срок фактического события; смена правовой квалификации не обнуляет срок.</w:t>
      </w:r>
    </w:p>
    <w:p>
      <w:pPr>
        <w:widowControl/>
      </w:pPr>
      <w:r>
        <w:t>Временный доступ допускается только по конкретному делу, с многосторонним контролем, независимым защитником, запретом массового поиска и доказуемым уничтожением восстановленной связи. Объём связывающих данных во время режима не расширяется нормативно.</w:t>
      </w:r>
    </w:p>
    <w:p>
      <w:pPr>
        <w:pStyle w:val="Heading2"/>
        <w:keepNext/>
        <w:keepLines/>
        <w:widowControl/>
      </w:pPr>
      <w:r>
        <w:t>27. Наиболее сильные возражения и встроенные ответы</w:t>
      </w:r>
    </w:p>
    <w:tbl>
      <w:tblPr>
        <w:tblW w:type="auto" w:w="0"/>
        <w:jc w:val="center"/>
        <w:tblLook w:firstColumn="1" w:firstRow="1" w:lastColumn="0" w:lastRow="0" w:noHBand="0" w:noVBand="1" w:val="04A0"/>
      </w:tblPr>
      <w:tblGrid>
        <w:gridCol w:w="4916"/>
        <w:gridCol w:w="4916"/>
      </w:tblGrid>
      <w:tr>
        <w:trPr>
          <w:tblHeader w:val="true"/>
          <w:tblHeader w:val="true"/>
          <w:tblHeader w:val="true"/>
          <w:cantSplit/>
        </w:trPr>
        <w:tc>
          <w:tcPr>
            <w:tcW w:type="dxa" w:w="204"/>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Возражение</w:t>
            </w:r>
          </w:p>
        </w:tc>
        <w:tc>
          <w:tcPr>
            <w:tcW w:type="dxa" w:w="363"/>
            <w:shd w:fill="17365D"/>
            <w:vAlign w:val="center"/>
            <w:tcMar>
              <w:top w:w="70" w:type="dxa"/>
              <w:start w:w="80" w:type="dxa"/>
              <w:bottom w:w="70" w:type="dxa"/>
              <w:end w:w="80" w:type="dxa"/>
            </w:tcMar>
          </w:tcPr>
          <w:p>
            <w:pPr>
              <w:spacing w:before="0" w:after="0" w:line="240" w:lineRule="auto"/>
              <w:jc w:val="left"/>
            </w:pPr>
            <w:r>
              <w:rPr>
                <w:rFonts w:ascii="Carlito" w:hAnsi="Carlito"/>
                <w:b/>
                <w:color w:val="FFFFFF"/>
                <w:sz w:val="16"/>
              </w:rPr>
              <w:t>Встроенный ответ и остаточный риск</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«Анонимность не позволяет бороться с повторным участием»</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Право проверяется до выдачи одноразового анонимного полномочия; нуллификатор блокирует повтор без постоянного идентификатора.</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«Спецслужбам нужен полный доступ для борьбы с иностранным вмешательством»</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Допускается только конкретный многосторонний судебный доступ; массовое профилирование само создаёт более опасный инструмент захвата.</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«Метаданные всё равно раскроют личность»</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Абсолютная анонимность не обещается; обязательны минимизация, перемешивание, раздельные поставщики и регулярные корреляционные атаки. Остаточный риск прямо признаётся.</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«Исследования требуют строковых данных»</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Научный интерес реализуется агрегатами и контролируемой средой; невозможность конкретного исследования не оправдывает необратимый политический риск.</w:t>
            </w:r>
          </w:p>
        </w:tc>
      </w:tr>
      <w:tr>
        <w:trPr/>
        <w:tc>
          <w:tcPr>
            <w:tcW w:type="dxa" w:w="204"/>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«Раскрытие доноров необходимо всегда»</w:t>
            </w:r>
          </w:p>
        </w:tc>
        <w:tc>
          <w:tcPr>
            <w:tcW w:type="dxa" w:w="363"/>
            <w:vAlign w:val="center"/>
            <w:tcMar>
              <w:top w:w="70" w:type="dxa"/>
              <w:start w:w="80" w:type="dxa"/>
              <w:bottom w:w="70" w:type="dxa"/>
              <w:end w:w="80" w:type="dxa"/>
            </w:tcMar>
            <w:shd w:fill="FFFFFF"/>
          </w:tcPr>
          <w:p>
            <w:pPr>
              <w:spacing w:before="0" w:after="0" w:line="240" w:lineRule="auto"/>
            </w:pPr>
            <w:r>
              <w:rPr>
                <w:rFonts w:ascii="Carlito" w:hAnsi="Carlito"/>
                <w:b w:val="0"/>
                <w:color w:val="000000"/>
                <w:sz w:val="16"/>
              </w:rPr>
              <w:t>Раскрываются крупные профессиональные влияния и бенефициары; обычное участие и малые доноры защищаются от политического реестра.</w:t>
            </w:r>
          </w:p>
        </w:tc>
      </w:tr>
      <w:tr>
        <w:trPr/>
        <w:tc>
          <w:tcPr>
            <w:tcW w:type="dxa" w:w="204"/>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«Удаление невозможно доказать абсолютно»</w:t>
            </w:r>
          </w:p>
        </w:tc>
        <w:tc>
          <w:tcPr>
            <w:tcW w:type="dxa" w:w="363"/>
            <w:vAlign w:val="center"/>
            <w:tcMar>
              <w:top w:w="70" w:type="dxa"/>
              <w:start w:w="80" w:type="dxa"/>
              <w:bottom w:w="70" w:type="dxa"/>
              <w:end w:w="80" w:type="dxa"/>
            </w:tcMar>
            <w:shd w:fill="EAF0F8"/>
          </w:tcPr>
          <w:p>
            <w:pPr>
              <w:spacing w:before="0" w:after="0" w:line="240" w:lineRule="auto"/>
            </w:pPr>
            <w:r>
              <w:rPr>
                <w:rFonts w:ascii="Carlito" w:hAnsi="Carlito"/>
                <w:b w:val="0"/>
                <w:color w:val="000000"/>
                <w:sz w:val="16"/>
              </w:rPr>
              <w:t>Требуется доказательство в пределах контролируемой инфраструктуры, учёт резервов и уничтожение ключей; невозможность абсолютного доказательства признаётся остаточным риском и ограничивает собираемый объём.</w:t>
            </w:r>
          </w:p>
        </w:tc>
      </w:tr>
    </w:tbl>
    <w:p>
      <w:pPr>
        <w:widowControl/>
        <w:spacing w:after="80" w:line="252" w:lineRule="auto"/>
      </w:pPr>
    </w:p>
    <w:p>
      <w:pPr>
        <w:pStyle w:val="Heading2"/>
        <w:keepNext/>
        <w:keepLines/>
        <w:widowControl/>
      </w:pPr>
      <w:r>
        <w:t>28. Связь с другими главами</w:t>
      </w:r>
    </w:p>
    <w:p>
      <w:pPr>
        <w:widowControl/>
        <w:spacing w:after="80" w:line="252" w:lineRule="auto"/>
        <w:jc w:val="both"/>
      </w:pPr>
      <w:r>
        <w:t>Настоящая глава применяется ко всем стадиям и имеет приоритет перед требованиями удобства, аналитической полноты и общего межведомственного обмена. Она синхронизируется с главами XI о доступности, XII о поддержке, XXXIV о финансировании, XXXV об информационной целостности и XXXVI о кибербезопасности.</w:t>
      </w:r>
    </w:p>
    <w:p>
      <w:pPr>
        <w:pStyle w:val="Heading2"/>
        <w:keepNext/>
        <w:keepLines/>
        <w:widowControl/>
      </w:pPr>
      <w:r>
        <w:t>29. Вывод</w:t>
      </w:r>
    </w:p>
    <w:p>
      <w:pPr>
        <w:widowControl/>
        <w:spacing w:after="80" w:line="252" w:lineRule="auto"/>
        <w:jc w:val="both"/>
      </w:pPr>
      <w:r>
        <w:t>Тайна политического участия обеспечивается не обещанием конфиденциальности единой базы, а отсутствием самой архитектурной связи. Государство вправе установить право гражданина действовать, но не должно получать техническую возможность собрать биографию его политического поведения.</w:t>
      </w:r>
    </w:p>
    <w:p>
      <w:pPr>
        <w:widowControl/>
        <w:spacing w:after="80" w:line="252" w:lineRule="auto"/>
      </w:pPr>
      <w:r>
        <w:br w:type="page"/>
      </w:r>
    </w:p>
    <w:p>
      <w:pPr>
        <w:pStyle w:val="Heading1"/>
        <w:keepNext/>
        <w:pageBreakBefore/>
        <w:widowControl/>
      </w:pPr>
      <w:r>
        <w:t>Приложение A. Нормативная регрессионная проверка редакции 2.1</w:t>
      </w:r>
    </w:p>
    <w:p>
      <w:pPr>
        <w:widowControl/>
      </w:pPr>
      <w:r>
        <w:t>Проверка ниже подтверждает только внутреннюю нормативную согласованность текста. Она не заменяет эмпирический пилот, конституционную экспертизу конкретной страны или техническую сертификацию.</w:t>
      </w:r>
    </w:p>
    <w:p>
      <w:pPr>
        <w:pStyle w:val="Heading2"/>
        <w:keepNext/>
        <w:widowControl/>
      </w:pPr>
      <w:r>
        <w:t>T-01. Пограничные кандидатские ответы</w:t>
      </w:r>
    </w:p>
    <w:p>
      <w:pPr>
        <w:widowControl/>
      </w:pPr>
      <w:r>
        <w:t>Пройдено на уровне текста: введена формальная грамматика безусловного принятия, условий и альтернатив; политическая разумность не оценивается.</w:t>
      </w:r>
    </w:p>
    <w:p>
      <w:pPr>
        <w:pStyle w:val="Heading2"/>
        <w:keepNext/>
        <w:widowControl/>
      </w:pPr>
      <w:r>
        <w:t>T-02. Несовместимый портфель</w:t>
      </w:r>
    </w:p>
    <w:p>
      <w:pPr>
        <w:widowControl/>
      </w:pPr>
      <w:r>
        <w:t>Пройдено на уровне текста: карта конфликтов обязательна; конфликтная группа имеет отдельную формулу приоритета и исключается из несправедливого знаменателя.</w:t>
      </w:r>
    </w:p>
    <w:p>
      <w:pPr>
        <w:pStyle w:val="Heading2"/>
        <w:keepNext/>
        <w:widowControl/>
      </w:pPr>
      <w:r>
        <w:t>T-03. Низкое участие</w:t>
      </w:r>
    </w:p>
    <w:p>
      <w:pPr>
        <w:widowControl/>
      </w:pPr>
      <w:r>
        <w:t>Пройдено на уровне текста: статус результата автоматически понижается; повышение после подсчёта запрещено.</w:t>
      </w:r>
    </w:p>
    <w:p>
      <w:pPr>
        <w:pStyle w:val="Heading2"/>
        <w:keepNext/>
        <w:widowControl/>
      </w:pPr>
      <w:r>
        <w:t>T-04. Захваченный координатор</w:t>
      </w:r>
    </w:p>
    <w:p>
      <w:pPr>
        <w:widowControl/>
      </w:pPr>
      <w:r>
        <w:t>Пройдено на уровне текста: приём, валидация и отказ разделены; действует презумпция продолжения и запрет единоличного удаления объекта.</w:t>
      </w:r>
    </w:p>
    <w:p>
      <w:pPr>
        <w:pStyle w:val="Heading2"/>
        <w:keepNext/>
        <w:widowControl/>
      </w:pPr>
      <w:r>
        <w:t>T-05. Насыщение лотереи</w:t>
      </w:r>
    </w:p>
    <w:p>
      <w:pPr>
        <w:widowControl/>
      </w:pPr>
      <w:r>
        <w:t>Пройдено на уровне текста: один тематико-целевой кластер получает один шанс независимо от числа редакций.</w:t>
      </w:r>
    </w:p>
    <w:p>
      <w:pPr>
        <w:pStyle w:val="Heading2"/>
        <w:keepNext/>
        <w:widowControl/>
      </w:pPr>
      <w:r>
        <w:t>T-06. Имитация защищённой группы</w:t>
      </w:r>
    </w:p>
    <w:p>
      <w:pPr>
        <w:widowControl/>
      </w:pPr>
      <w:r>
        <w:t>Пройдено на уровне текста: основанием является воздействие на право или структурный барьер, а не государственное признание идентичности.</w:t>
      </w:r>
    </w:p>
    <w:p>
      <w:pPr>
        <w:pStyle w:val="Heading2"/>
        <w:keepNext/>
        <w:widowControl/>
      </w:pPr>
      <w:r>
        <w:t>T-07. Одновременный захват</w:t>
      </w:r>
    </w:p>
    <w:p>
      <w:pPr>
        <w:widowControl/>
      </w:pPr>
      <w:r>
        <w:t>Пройдено на уровне текста: при утрате кворума независимости сертификация прекращается и действует безопасный коллапс.</w:t>
      </w:r>
    </w:p>
    <w:p>
      <w:pPr>
        <w:pStyle w:val="Heading2"/>
        <w:keepNext/>
        <w:widowControl/>
      </w:pPr>
      <w:r>
        <w:t>T-08. Цепочка чрезвычайности</w:t>
      </w:r>
    </w:p>
    <w:p>
      <w:pPr>
        <w:widowControl/>
      </w:pPr>
      <w:r>
        <w:t>Пройдено на уровне текста: единый реестр, общий кумулятивный срок и тест эквивалентности оснований.</w:t>
      </w:r>
    </w:p>
    <w:p>
      <w:pPr>
        <w:pStyle w:val="Heading2"/>
        <w:keepNext/>
        <w:widowControl/>
      </w:pPr>
      <w:r>
        <w:t>T-09. Совокупные процедурные нарушения</w:t>
      </w:r>
    </w:p>
    <w:p>
      <w:pPr>
        <w:widowControl/>
      </w:pPr>
      <w:r>
        <w:t>Пройдено на уровне текста: исчерпывающие средства защиты и запрет автоматического переноса в политические права.</w:t>
      </w:r>
    </w:p>
    <w:p>
      <w:pPr>
        <w:pStyle w:val="Heading2"/>
        <w:keepNext/>
        <w:widowControl/>
      </w:pPr>
      <w:r>
        <w:t>T-10. Пилотная экстраполяция</w:t>
      </w:r>
    </w:p>
    <w:p>
      <w:pPr>
        <w:widowControl/>
      </w:pPr>
      <w:r>
        <w:t>Пройдено на уровне текста: ворота доказательств разделены по конкретным полномочиям.</w:t>
      </w:r>
    </w:p>
    <w:p>
      <w:pPr>
        <w:pStyle w:val="Heading2"/>
        <w:keepNext/>
        <w:widowControl/>
      </w:pPr>
      <w:r>
        <w:t>T-11. Общая инфраструктура</w:t>
      </w:r>
    </w:p>
    <w:p>
      <w:pPr>
        <w:widowControl/>
      </w:pPr>
      <w:r>
        <w:t>Пройдено на уровне текста: карта инфраструктурной независимости и запрет общего администратора критических контуров.</w:t>
      </w:r>
    </w:p>
    <w:p>
      <w:pPr>
        <w:pStyle w:val="Heading2"/>
        <w:keepNext/>
        <w:widowControl/>
      </w:pPr>
      <w:r>
        <w:t>T-12. Перевод и доступность</w:t>
      </w:r>
    </w:p>
    <w:p>
      <w:pPr>
        <w:widowControl/>
      </w:pPr>
      <w:r>
        <w:t>Пройдено на уровне текста: юридический исходный текст, сертифицированная эквивалентность и последствия существенного расхождения.</w:t>
      </w:r>
    </w:p>
    <w:p>
      <w:pPr>
        <w:widowControl/>
      </w:pPr>
      <w:r>
        <w:t>Итог: известные противоречия K-01–K-13 и ограничители S-01–S-20 встроены в консолидированный текст. Открытыми остаются неустранимые остаточные риски и национально зависимые числовые параметры.</w:t>
      </w:r>
    </w:p>
    <w:p>
      <w:pPr>
        <w:widowControl/>
      </w:pPr>
      <w:r>
        <w:t>Национальные редакции Германии, Франции, Финляндии и иных государств являются адаптационными документами и не изменяют статус настоящего текста как универсального первоисточника.</w:t>
      </w:r>
    </w:p>
    <w:p>
      <w:pPr>
        <w:widowControl/>
      </w:pPr>
      <w:r>
        <w:br w:type="page"/>
      </w:r>
    </w:p>
    <w:p>
      <w:pPr>
        <w:sectPr>
          <w:type w:val="nextPage"/>
          <w:headerReference w:type="default" r:id="rId9"/>
          <w:footerReference w:type="default" r:id="rId10"/>
          <w:headerReference w:type="first" r:id="rId11"/>
          <w:headerReference w:type="even" r:id="rId12"/>
          <w:footerReference w:type="first" r:id="rId13"/>
          <w:pgSz w:w="11906" w:h="16838"/>
          <w:pgMar w:top="935" w:right="935" w:bottom="879" w:left="1020" w:header="397" w:footer="397" w:gutter="0"/>
          <w:cols w:space="720"/>
          <w:titlePg/>
          <w:docGrid w:linePitch="360"/>
          <w:pgNumType w:start="0"/>
        </w:sectPr>
      </w:pPr>
    </w:p>
    <w:p>
      <w:pPr>
        <w:sectPr>
          <w:type w:val="nextPage"/>
          <w:headerReference w:type="default" r:id="rId9"/>
          <w:footerReference w:type="default" r:id="rId10"/>
          <w:headerReference w:type="first" r:id="rId11"/>
          <w:headerReference w:type="even" r:id="rId12"/>
          <w:footerReference w:type="first" r:id="rId13"/>
          <w:pgSz w:w="11906" w:h="16838"/>
          <w:pgMar w:top="935" w:right="935" w:bottom="879" w:left="1020" w:header="397" w:footer="397" w:gutter="0"/>
          <w:cols w:space="720"/>
          <w:docGrid w:linePitch="360"/>
        </w:sectPr>
      </w:pPr>
    </w:p>
    <w:p>
      <w:pPr>
        <w:pStyle w:val="Heading1"/>
        <w:keepNext/>
        <w:pageBreakBefore w:val="0"/>
        <w:widowControl/>
      </w:pPr>
      <w:r>
        <w:t>Приложение B. Итоговая диагностика и матрица учёта возражений</w:t>
      </w:r>
    </w:p>
    <w:p>
      <w:pPr>
        <w:widowControl/>
      </w:pPr>
      <w:r>
        <w:rPr>
          <w:b/>
          <w:i w:val="0"/>
        </w:rPr>
        <w:t>Статус приложения</w:t>
      </w:r>
    </w:p>
    <w:p>
      <w:pPr>
        <w:widowControl/>
      </w:pPr>
      <w:r>
        <w:rPr>
          <w:b w:val="0"/>
          <w:i w:val="0"/>
        </w:rPr>
        <w:t>Настоящее приложение является финальным внутренним аудитом универсальной редакции 2.1. Оно объединяет результаты независимого стресс-теста редакции 1.1, режима «Адвокат дьявола», сквозной матрицы редакции 2.0, повторной атаки на новые решения и регрессионной проверки редакции 2.1. Заключение является модельным междисциплинарным анализом и не выдаётся за решение реально созванного международного или государственного органа.</w:t>
      </w:r>
    </w:p>
    <w:tbl>
      <w:tblPr>
        <w:tblStyle w:val="TableGrid"/>
        <w:tblW w:type="auto" w:w="0"/>
        <w:tblLook w:firstColumn="1" w:firstRow="1" w:lastColumn="0" w:lastRow="0" w:noHBand="0" w:noVBand="1" w:val="04A0"/>
      </w:tblPr>
      <w:tblGrid>
        <w:gridCol w:w="9951"/>
      </w:tblGrid>
      <w:tr>
        <w:trPr>
          <w:tblHeader w:val="true"/>
        </w:trPr>
        <w:tc>
          <w:tcPr>
            <w:tcW w:type="dxa" w:w="9951"/>
            <w:shd w:fill="DDEBF7"/>
            <w:vAlign w:val="center"/>
          </w:tcPr>
          <w:p>
            <w:pPr>
              <w:jc w:val="center"/>
            </w:pPr>
            <w:r>
              <w:rPr>
                <w:b/>
                <w:sz w:val="20"/>
              </w:rPr>
              <w:t>ИТОГОВЫЙ ДИАГНОСТИЧЕСКИЙ ВЕРДИКТ</w:t>
            </w:r>
          </w:p>
          <w:p>
            <w:pPr>
              <w:jc w:val="center"/>
            </w:pPr>
            <w:r>
              <w:rPr>
                <w:sz w:val="18"/>
              </w:rPr>
              <w:t>Фатальные свойства редакции 1.1 устранены. Критические противоречия, выявленные повторной атакой на редакцию 2.0, получили архитектурные решения в редакции 2.1. Неустранимые остаточные риски признаны, ограничены и связаны с критериями безопасного отказа, пилота и национальной адаптации.</w:t>
            </w:r>
          </w:p>
        </w:tc>
      </w:tr>
    </w:tbl>
    <w:tbl>
      <w:tblPr>
        <w:tblStyle w:val="TableGrid"/>
        <w:tblW w:type="auto" w:w="0"/>
        <w:tblLook w:firstColumn="1" w:firstRow="1" w:lastColumn="0" w:lastRow="0" w:noHBand="0" w:noVBand="1" w:val="04A0"/>
      </w:tblPr>
      <w:tblGrid>
        <w:gridCol w:w="2488"/>
        <w:gridCol w:w="2488"/>
        <w:gridCol w:w="2488"/>
        <w:gridCol w:w="2488"/>
      </w:tblGrid>
      <w:tr>
        <w:trPr>
          <w:tblHeader w:val="true"/>
        </w:trPr>
        <w:tc>
          <w:tcPr>
            <w:tcW w:type="dxa" w:w="2488"/>
            <w:shd w:fill="D9EAF7"/>
          </w:tcPr>
          <w:p>
            <w:r>
              <w:t>Контур проверки</w:t>
            </w:r>
          </w:p>
        </w:tc>
        <w:tc>
          <w:tcPr>
            <w:tcW w:type="dxa" w:w="2488"/>
            <w:shd w:fill="D9EAF7"/>
          </w:tcPr>
          <w:p>
            <w:r>
              <w:t>Объём</w:t>
            </w:r>
          </w:p>
        </w:tc>
        <w:tc>
          <w:tcPr>
            <w:tcW w:type="dxa" w:w="2488"/>
            <w:shd w:fill="D9EAF7"/>
          </w:tcPr>
          <w:p>
            <w:r>
              <w:t>Итог редакции 2.1</w:t>
            </w:r>
          </w:p>
        </w:tc>
        <w:tc>
          <w:tcPr>
            <w:tcW w:type="dxa" w:w="2488"/>
            <w:shd w:fill="D9EAF7"/>
          </w:tcPr>
          <w:p>
            <w:r>
              <w:t>Предел вывода</w:t>
            </w:r>
          </w:p>
        </w:tc>
      </w:tr>
      <w:tr>
        <w:tc>
          <w:tcPr>
            <w:tcW w:type="dxa" w:w="2488"/>
          </w:tcPr>
          <w:p>
            <w:r>
              <w:t>Первичный реестр существенных возражений</w:t>
            </w:r>
          </w:p>
        </w:tc>
        <w:tc>
          <w:tcPr>
            <w:tcW w:type="dxa" w:w="2488"/>
          </w:tcPr>
          <w:p>
            <w:r>
              <w:t>64</w:t>
            </w:r>
          </w:p>
        </w:tc>
        <w:tc>
          <w:tcPr>
            <w:tcW w:type="dxa" w:w="2488"/>
          </w:tcPr>
          <w:p>
            <w:r>
              <w:t>24 устранены; 33 существенно ограничены; 7 признаны остаточными</w:t>
            </w:r>
          </w:p>
        </w:tc>
        <w:tc>
          <w:tcPr>
            <w:tcW w:type="dxa" w:w="2488"/>
          </w:tcPr>
          <w:p>
            <w:r>
              <w:t>Статус относится к универсальной архитектуре, а не к конкретной юрисдикции</w:t>
            </w:r>
          </w:p>
        </w:tc>
      </w:tr>
      <w:tr>
        <w:tc>
          <w:tcPr>
            <w:tcW w:type="dxa" w:w="2488"/>
          </w:tcPr>
          <w:p>
            <w:r>
              <w:t>Повторный стресс-тест редакции 2.0</w:t>
            </w:r>
          </w:p>
        </w:tc>
        <w:tc>
          <w:tcPr>
            <w:tcW w:type="dxa" w:w="2488"/>
          </w:tcPr>
          <w:p>
            <w:r>
              <w:t>13 критических дефектов</w:t>
            </w:r>
          </w:p>
        </w:tc>
        <w:tc>
          <w:tcPr>
            <w:tcW w:type="dxa" w:w="2488"/>
          </w:tcPr>
          <w:p>
            <w:r>
              <w:t>Все K-01–K-13 закрыты нормами редакции 2.1 и проверены регрессионными сценариями</w:t>
            </w:r>
          </w:p>
        </w:tc>
        <w:tc>
          <w:tcPr>
            <w:tcW w:type="dxa" w:w="2488"/>
          </w:tcPr>
          <w:p>
            <w:r>
              <w:t>Эмпирическая эффективность подлежит пилоту</w:t>
            </w:r>
          </w:p>
        </w:tc>
      </w:tr>
      <w:tr>
        <w:tc>
          <w:tcPr>
            <w:tcW w:type="dxa" w:w="2488"/>
          </w:tcPr>
          <w:p>
            <w:r>
              <w:t>Существенные уязвимости новой архитектуры</w:t>
            </w:r>
          </w:p>
        </w:tc>
        <w:tc>
          <w:tcPr>
            <w:tcW w:type="dxa" w:w="2488"/>
          </w:tcPr>
          <w:p>
            <w:r>
              <w:t>20</w:t>
            </w:r>
          </w:p>
        </w:tc>
        <w:tc>
          <w:tcPr>
            <w:tcW w:type="dxa" w:w="2488"/>
          </w:tcPr>
          <w:p>
            <w:r>
              <w:t>Все S-01–S-20 получили встроенные ограничители; остаточный риск зависит от национального права и исполнения</w:t>
            </w:r>
          </w:p>
        </w:tc>
        <w:tc>
          <w:tcPr>
            <w:tcW w:type="dxa" w:w="2488"/>
          </w:tcPr>
          <w:p>
            <w:r>
              <w:t>Не допускается статус «устранено» без практической проверки</w:t>
            </w:r>
          </w:p>
        </w:tc>
      </w:tr>
      <w:tr>
        <w:tc>
          <w:tcPr>
            <w:tcW w:type="dxa" w:w="2488"/>
          </w:tcPr>
          <w:p>
            <w:r>
              <w:t>Неустранимые риски</w:t>
            </w:r>
          </w:p>
        </w:tc>
        <w:tc>
          <w:tcPr>
            <w:tcW w:type="dxa" w:w="2488"/>
          </w:tcPr>
          <w:p>
            <w:r>
              <w:t>8</w:t>
            </w:r>
          </w:p>
        </w:tc>
        <w:tc>
          <w:tcPr>
            <w:tcW w:type="dxa" w:w="2488"/>
          </w:tcPr>
          <w:p>
            <w:r>
              <w:t>Прямо признаны и ограничены; связаны с критериями остановки и безопасного отказа</w:t>
            </w:r>
          </w:p>
        </w:tc>
        <w:tc>
          <w:tcPr>
            <w:tcW w:type="dxa" w:w="2488"/>
          </w:tcPr>
          <w:p>
            <w:r>
              <w:t>Не могут быть обнулены без разрушения концептуального ядра</w:t>
            </w:r>
          </w:p>
        </w:tc>
      </w:tr>
      <w:tr>
        <w:tc>
          <w:tcPr>
            <w:tcW w:type="dxa" w:w="2488"/>
          </w:tcPr>
          <w:p>
            <w:r>
              <w:t>Протокол корректировки 2.1</w:t>
            </w:r>
          </w:p>
        </w:tc>
        <w:tc>
          <w:tcPr>
            <w:tcW w:type="dxa" w:w="2488"/>
          </w:tcPr>
          <w:p>
            <w:r>
              <w:t>24 изменения</w:t>
            </w:r>
          </w:p>
        </w:tc>
        <w:tc>
          <w:tcPr>
            <w:tcW w:type="dxa" w:w="2488"/>
          </w:tcPr>
          <w:p>
            <w:r>
              <w:t>C2.1-01–C2.1-24 выполнены и синхронизированы по затронутым главам</w:t>
            </w:r>
          </w:p>
        </w:tc>
        <w:tc>
          <w:tcPr>
            <w:tcW w:type="dxa" w:w="2488"/>
          </w:tcPr>
          <w:p>
            <w:r>
              <w:t>Последующие изменения требуют новой версии</w:t>
            </w:r>
          </w:p>
        </w:tc>
      </w:tr>
      <w:tr>
        <w:tc>
          <w:tcPr>
            <w:tcW w:type="dxa" w:w="2488"/>
          </w:tcPr>
          <w:p>
            <w:r>
              <w:t>Нормативная регрессия</w:t>
            </w:r>
          </w:p>
        </w:tc>
        <w:tc>
          <w:tcPr>
            <w:tcW w:type="dxa" w:w="2488"/>
          </w:tcPr>
          <w:p>
            <w:r>
              <w:t>12 сценариев</w:t>
            </w:r>
          </w:p>
        </w:tc>
        <w:tc>
          <w:tcPr>
            <w:tcW w:type="dxa" w:w="2488"/>
          </w:tcPr>
          <w:p>
            <w:r>
              <w:t>T-01–T-12 пройдены на уровне текста</w:t>
            </w:r>
          </w:p>
        </w:tc>
        <w:tc>
          <w:tcPr>
            <w:tcW w:type="dxa" w:w="2488"/>
          </w:tcPr>
          <w:p>
            <w:r>
              <w:t>Не заменяет тест кода, институтов и реального поведения</w:t>
            </w:r>
          </w:p>
        </w:tc>
      </w:tr>
    </w:tbl>
    <w:p>
      <w:pPr>
        <w:pStyle w:val="Heading2"/>
        <w:keepNext/>
        <w:widowControl/>
      </w:pPr>
      <w:r>
        <w:t>B.1. Матрица 64 исходных существенных возражений</w:t>
      </w:r>
    </w:p>
    <w:p>
      <w:pPr>
        <w:widowControl/>
      </w:pPr>
      <w:r>
        <w:rPr>
          <w:b w:val="0"/>
          <w:i w:val="0"/>
        </w:rPr>
        <w:t>Матрица сохраняет сильнейшие формулировки критики, конкретное архитектурное решение, место закрепления, статус и остаточный риск. Формулировки «редакция 2.0» в исходной матрице обновлены до «редакция 2.1», поскольку окончательный текст включает последующий протокол коррекции и регрессионную проверку.</w:t>
      </w: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A-01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Доктрина рискует представить общество единым субъектом с одной непротиворечивой волей и вытеснить плюрализм, несогласие и право не участвовать.</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Отказаться от фикции единой воли. Общественное поручение определяется как ограниченный, процедурно сформированный набор целей с опубликованными уровнями поддержки, воздержанием, несогласием и показателями представительности.</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 §§3, 7, 9.2; II §§6, 8, 12; IV §5; XVIII §13; XIX §§4, 14</w:t>
            </w:r>
          </w:p>
        </w:tc>
        <w:tc>
          <w:tcPr>
            <w:tcW w:type="dxa" w:w="1701"/>
            <w:shd w:fill="FCE4D6"/>
            <w:tcMar>
              <w:top w:w="55" w:type="dxa"/>
              <w:start w:w="65" w:type="dxa"/>
              <w:bottom w:w="55" w:type="dxa"/>
              <w:end w:w="65" w:type="dxa"/>
            </w:tcMar>
            <w:vAlign w:val="top"/>
          </w:tcPr>
          <w:p>
            <w:pPr>
              <w:spacing w:after="0"/>
            </w:pPr>
            <w:r>
              <w:rPr>
                <w:rFonts w:ascii="Arial" w:hAnsi="Arial" w:eastAsia="Arial"/>
                <w:b/>
                <w:i w:val="0"/>
                <w:color w:val="1F1F1F"/>
                <w:sz w:val="14"/>
              </w:rPr>
              <w:t>Неустранимый остаточный риск</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Ни одна процедура не превращает плюралистическое общество в единый субъект. Остаточный риск допустим только при постоянной публикации структуры разногласий, явки и ограничений вывода.</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A-02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Один термин одновременно обозначает процесс, перечень, официальный документ, политический сигнал, источник обязанностей и объект контроля.</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Жёстко развести Доктрину, инициативу, общественное поручение, общественный мандат, декларацию кандидата, принятое положение, акт реализации, план, мониторинг и оценку. Закрытый глоссарий; запрет взаимозаменяемого употребления; автоматическая сквозная проверка терминов во всех главах.</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II §§2–8; V §§2–7; XIX §3; XX §2; XXIII §3</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A-03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Каталог принципов слишком велик и не устанавливает, что имеет приоритет при конфликте прозрачности и тайны, обязательности и компетенции, стабильности и адаптации.</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Ввести иерархию принципов: права и конституционная законность; общественное происхождение и обязательность отношения; компетенция и разделение властей; процедурные гарантии; организационные параметры. Тест коллизий и соразмерности; правило недействия специальной нормы, молча нарушающей верхний уровень.</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IV §§2–15</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A-04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Слабая модель превращается в дорогую консультацию, сильная конфликтует с конституционными институтами, а гибридная передаёт власть классификаторам.</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Разделить виды обязательности: обязательность публичного отношения кандидата; обязательность принятого им собственного действия; обязательность точных процедур и данных; политическая оценка результата; юридическое действие только через обычный правовой маршрут.</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§§2–16, 21; XVIII §§2–3; XIX §§4, 10, 18; XXXII §§3–12</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A-05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Нельзя обещать единый политический результат субъектом, который не контролирует парламент, суд, регионы, экономику и внешнюю среду.</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Обязанность результата допускается только для результата, находящегося под доказуемым контролем адресата. В остальных случаях обязательны собственные действия, предложения, планирование, данные и мотивировка. Матрица компетенций; разделение действия / непосредственные результаты / общественные эффекты / внешние факторы; запрет фиктивного единого владельца.</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 §§7–8; VI §§8–12; XXIII §§7–11; XXIV §§6–11; XXVI §§7–9</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A-06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Обязательность становится фиктивной при лёгком пересмотре и опасной при трудном; кризисы требуют изменения курса.</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Сохранить право изменить курс в пределах компетенции, но сделать обязательными раннее раскрытие причин, сравнительный анализ альтернатив, журнал версий, последствия для сроков и публичную политическую ответственность. Закрытые процессуальные требования; экстренный режим с последующим контролем; запрет органу оценки иметь политическое вето.</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§12; XXVII §§2–15; XXX §§3–8; XXXI §§18–19</w:t>
            </w:r>
          </w:p>
        </w:tc>
        <w:tc>
          <w:tcPr>
            <w:tcW w:type="dxa" w:w="1701"/>
            <w:shd w:fill="FCE4D6"/>
            <w:tcMar>
              <w:top w:w="55" w:type="dxa"/>
              <w:start w:w="65" w:type="dxa"/>
              <w:bottom w:w="55" w:type="dxa"/>
              <w:end w:w="65" w:type="dxa"/>
            </w:tcMar>
            <w:vAlign w:val="top"/>
          </w:tcPr>
          <w:p>
            <w:pPr>
              <w:spacing w:after="0"/>
            </w:pPr>
            <w:r>
              <w:rPr>
                <w:rFonts w:ascii="Arial" w:hAnsi="Arial" w:eastAsia="Arial"/>
                <w:b/>
                <w:i w:val="0"/>
                <w:color w:val="1F1F1F"/>
                <w:sz w:val="14"/>
              </w:rPr>
              <w:t>Неустранимый остаточный риск</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Конфликт стабильности и адаптации объективно неустраним. Ограничители: закрытые основания пересмотра, версии, сроки, мотивировка, контроль и политическая цена изменения.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A-07</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Одинаковая юридическая формула не совместима одновременно с президентскими, парламентскими, смешанными, федеративными и унитарными системами.</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Универсальный документ закрепляет функции, пределы и инварианты; национальные редакции распределяют их по конкретным органам и правовым маршрутам. Обязательный протокол национальной адаптации; таблица отклонений; отдельные версии для Франции, Германии и Финляндии после универсальной редакции.</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III §8; VI §13; VIII §15; XXXII §20</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A-08</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Доктрина подробно проектирует новую систему до доказательства, что она лучше усиленных петиций, voter guides, открытых данных и существующих институтов.</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Излагать необходимость как проверяемую гипотезу, а не доказанный факт; национальное внедрение — только после сравнительных пилотов. Контрольная группа/территория; предрегистрация метрик; cost-benefit review; автоматическое прекращение при отсутствии преимущества.</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I §§5, 8; III §9; XXXI §§5–19; XXXIII §20</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bl>
    <w:p>
      <w:pPr>
        <w:widowControl/>
      </w:pP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B-01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Общественное поручение может превратить свободный парламентский мандат в фактическую инструкцию, особенно через партийные обещания голосовать и публичную фиксацию отступлений.</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Запретить официальную индивидуальную обязанность депутата голосовать определённым образом. Для парламента допустимы обязанности рассмотреть, провести слушание, дать мотивированный ответ и опубликовать решение. Прямая оговорка о свободном мандате; разделение позиции партии и юридической обязанности депутата; отсутствие судебного принуждения к голосу.</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 §9; XXIII §10; XXIX §§3, 6, 12; XXXII §9</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B-02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Глава государства может противопоставить «прямой народный мандат» парламенту, регионам и суду, создавая двойную легитимность и плебисцитаризм.</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Закрепить: общественное поручение не расширяет полномочия, не отменяет сдержки и не разрешает обход парламента, суда, федерализма или бюджета. Норма верхнего уровня; обязательная маркировка компетенций каждого пункта; запрет использовать поручение как самостоятельное основание властного акта.</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III §6; V §§3, 6, 9–11; XIX §§4, 18; XXXII §§4, 7, 9–12</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B-03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Поручение способно обойти бюджетный процесс и связать парламент расходами, не прошедшими обычную процедуру.</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Ни один пункт сам по себе не санкционирует расход и не заменяет бюджет. Принятие означает обязанность представить реалистичные варианты финансирования и вынести решения по обычному процессу. Фискальные сценарии; раскрытие альтернативной стоимости; отдельное парламентское решение; запрет нефинансируемых обязанностей нижним уровням.</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 §10; XVII §9; XVIII §14; XXIV §9; XXVII §10; XXXII §9; XXXIII §§4–8</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B-04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Обязательная декларация кандидата и ограничение числа отказов могут нарушить пассивное избирательное право и превратить выборы в государственный экзамен.</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Сохранить обязательность публичного отношения и предел отказа как ядро. В универсальном тексте не фиксировать дисквалификацию без национального конституционного основания; предусмотреть функционально эквивалентные механизмы.</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§4; XX §§4–8, 13, 18–20; XXXII §8</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B-05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Государственный орган может официально переопределять политический смысл ответа кандидата и селективно присваивать категории «поддержка» или «отказ».</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Кандидат сам выбирает категорию и сохраняет полный неизменённый текст. Орган проверяет только формальную полноту и объективно измеримые поля. Право на исправление фактической ошибки; публикация разногласия; запрет официального рейтинга честности и окончательной интерпретации.</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XX §14; XXI §§2–13; XXII §§4–10, 17</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B-06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Победа кандидата не доказывает согласия избирателя с каждым пунктом и не должна автоматически активировать отдельный массив юридических обязательств.</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Избрание активирует реестр публично принятых положений и точные обязанности собственного действия/отчётности, но не создаёт новый источник права и не связывает другие органы. Отдельная маркировка юридического источника каждого действия; отсутствие фиктивного согласия избирателя с каждым пунктом.</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§6; XXIII §§5–6, 22.1; XIX §10</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B-07</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Прямой юридический эффект (ОП-5) не может возникать из внутренней классификации Доктрины и обходить закон, референдум или конституционную поправку.</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Исключить ОП-5 как внутренний продукт. Прямое действие — только внешний маршрут, уже установленный конституцией. Закрытая норма; предварительный конституционный контроль; отдельная процедура и отдельный бюллетень, где это допустимо.</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II §8; V §§2–3; XV §4; XIX §§4, 18; XXXII §§3–7</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B-08</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Суды не способны устанавливать, достигнут ли сложный политический результат, не подменяя управление, бюджет и политическую ответственность.</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Суд контролирует компетенцию, процедуру, сроки, доступ к данным, мотивировку, фальсификацию и дискриминацию; не устанавливает единственно правильный курс или обязанность социального результата. Закрытый перечень юстициабельных требований; право на ответ; особые мнения; запрет судебного рейтинга политики.</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§13; XXVI §14; XXVIII §13; XXIX §12; XXXII §12</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B-09</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Специальные штрафы, дисквалификация и ограничения избирательных прав за содержательное неисполнение превращают оценку в политический суд.</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Исключить специальные санкции за политический результат. Юридическая ответственность — только за конкретные нарушения: сокрытие, фальсификацию, коррупцию, незаконное бездействие, нарушение данных и точных процедур. Исчерпывающий состав нарушений; обычный суд; политическая ответственность через парламент, общественную оценку, медиа и выборы.</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 §14; XXIX §§2–8; XXXII §§12, 21</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B-10</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Смена правительства, коалиционные переговоры и новые выборы могут вступить в конфликт с наследуемыми обязательствами прежнего победителя.</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Обязательства собственного действия принадлежат принявшему субъекту и прекращаются/трансформируются при утрате должности; юридические акты продолжают действовать по обычному праву; новый цикл свободен пересмотреть политические приоритеты.</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§12; XXIII §§16–17, 21; XXX §§3–8, 15</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bl>
    <w:p>
      <w:pPr>
        <w:widowControl/>
      </w:pP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C-01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Содержательный предварительный список является скрытым центром власти: исключённая инициатива исчезает до массового выбора.</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Убрать закрытое содержательное ранжирование. Допуск строится на поддержке, узком правовом фильтре, прозрачной оценке последствий и заранее объявленном нейтральном механизме ограничения числа тем. Рейтинг поддержки плюс жребий/ротация для равных групп; отдельный защищённый маршрут для правовых проблем меньшинств; полная публикация причин.</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XVII §§2–10, 13; IX §8</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C-02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Редакционная помощь может незаметно выхолостить, переименовать или политически ослабить инициативу.</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Исходный текст становится неизменяемым архивным объектом; рабочая редакция не заменяет его и не может быть вынесена без прослеживаемого согласия. Версии до/после; карта изменений; повторное подтверждение при существенной правке; право отдельной формулировки и апелляции.</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XIII §§2–11; XIX §§7, 16</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C-03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Клонирование, дробление и искусственное объединение инициатив позволяют захватывать внимание или уничтожать поддержку.</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Кластеризовать связанные инициативы без утраты исходных текстов и авторства; не суммировать или делить поддержку скрыто. Публичные правила сходства; общий и раздельный счётчики; право оспорить объединение; независимая выборочная проверка алгоритмов.</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XII §11; XIII §§6–11; XVII §8</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C-04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Экспертиза последствий может стать технократическим вето через выбор базового сценария, горизонта, ставки дисконтирования и данных.</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Экспертиза информирует и раскрывает диапазоны, но не исключает политический вопрос из-за цены или риска, кроме узких правовых случаев. Альтернативные модели; анализ чувствительности; открытые расчёты; состязательная рецензия; особые мнения; пропорциональная глубина.</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IX §7; XIV §§2–10, 12</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C-05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Правовой фильтр может превратиться в цензуру неудобной повестки под понятиями достоинства, безопасности, демократического порядка или международных обязательств.</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Допустим только закрытый минимальный фильтр: явное нарушение неотчуждаемого права, отсутствие компетенции, нарушение императивной нормы или единства предмета. Спорные случаи не удаляются административно. Мотивировка по конкретной норме; минимально изменённая допустимая редакция; ускоренное судебное окно; публикация особых мнений.</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XV §§2–12; XXXII §13</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C-06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Финансовый и портфельный шлюз противоречит запрету исключать инициативы из-за дороговизны и скрывает политическое решение о приоритетах.</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Не исключать инициативу по единственному «реалистичному контуру». Представлять несколько финансовых сценариев и, при несовместимости, давать гражданам прозрачное ранжирование приоритетов. Раздельное голосование; диапазоны источников; запрет искусственных пакетов; видимое политическое решение, а не техническое вето.</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XIV §8; XVII §9; XVIII §14; XIX §19; XXVII §10</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C-07</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Низкий абсолютный порог и отсутствие кворума позволяют организованному меньшинству получить статус общего мандата.</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Ввести ступени статуса по абсолютной поддержке и качеству представительности; слово «мандат» применять только при повышенном стандарте, не превращая низкий порог в доказательство общей воли. Предварительное моделирование порогов; публикация явки и охвата; стабильность правил; национальная настройка после пилота.</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XII §§4–5, 8; XVIII §§12–13, 26.2; XXXI §§11, 15</w:t>
            </w:r>
          </w:p>
        </w:tc>
        <w:tc>
          <w:tcPr>
            <w:tcW w:type="dxa" w:w="1701"/>
            <w:shd w:fill="FCE4D6"/>
            <w:tcMar>
              <w:top w:w="55" w:type="dxa"/>
              <w:start w:w="65" w:type="dxa"/>
              <w:bottom w:w="55" w:type="dxa"/>
              <w:end w:w="65" w:type="dxa"/>
            </w:tcMar>
            <w:vAlign w:val="top"/>
          </w:tcPr>
          <w:p>
            <w:pPr>
              <w:spacing w:after="0"/>
            </w:pPr>
            <w:r>
              <w:rPr>
                <w:rFonts w:ascii="Arial" w:hAnsi="Arial" w:eastAsia="Arial"/>
                <w:b/>
                <w:i w:val="0"/>
                <w:color w:val="1F1F1F"/>
                <w:sz w:val="14"/>
              </w:rPr>
              <w:t>Неустранимый остаточный риск</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Универсального нейтрального порога не существует. Числа определяются национальным законом после моделирования и пилота; низкая явка ограничивает официальный вывод.</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C-08</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Профессионально мобилизованные группы и обеспеченные граждане формируют меню, тогда как остальные участвуют эпизодически.</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Представительность оценивается как отдельный показатель качества процесса, но не достигается неравным весом индивидуального голоса. Офлайн-доступ; целевое информирование; случайно отобранные мини-публики; компенсация участия; публикация разрывов и ограничений результата.</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XI §§2–9; XII §§7–9; XVI §§4, 8; XXXI §§10–11</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C-09</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Численные и территориальные пороги могут исключить малые группы, хотя их права затрагиваются напрямую; квоты могут стать декоративными или управляемыми.</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Основное ядро прав не голосуется. Для проблем малых затронутых групп создаётся маршрут обязательного рассмотрения и обсуждения, но не автоматического принятия их политического решения. Объективные критерии затронутости; несколько способов самопредставительства; правозащитный аудит; отсутствие монополии одной организации.</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XII §9; XIV §9; XV §9; XVI §§3–4</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C-10</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Национальная повестка может отражать мегаполисы и нарушать региональную/муниципальную автономию; пункт может быть вынесен не на том уровне компетенции.</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Каждый пункт привязывается к уровню компетенции; совместные вопросы получают карту согласований и финансирования; национальный мандат не создаёт местную обязанность без согласия и ресурсов. Компетенционный паспорт; территориальные данные; отдельные циклы; запрет нефинансируемого делегирования.</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VI §§9–12; XII §8; XVIII §6; XXXII §11</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bl>
    <w:p>
      <w:pPr>
        <w:widowControl/>
      </w:pP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D-01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Совокупность органов допуска, редакции, экспертизы, мониторинга, толкования и оценки образует квазичетвёртую ветвь власти без достаточной легитимности.</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Не создавать единую постоянную ветвь. Использовать существующие конституционные институты и временные панели конкретного цикла; функции строго несовместимы. Функциональная карта; временные мандаты; отсутствие собственного политического вето; независимый аудит и судебное обжалование.</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VII §§2–4; VIII §§2–14; IX §4</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D-02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Чем больше передач ответственности, тем легче каждому участнику ссылаться на другое звено, а гражданин превращается в поставщика сырья для профессиональных посредников.</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Сократить цепочку; у каждого решения должен быть названный автор, основание, срок и субъект обжалования. Единый процессный координатор не получает содержательной власти. Матрица решений, а не организаций; запрет коллективной безымянной мотивировки; молчание после срока — процессуальное нарушение.</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VII §§3, 5–10; VIII §5</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D-03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Формальная независимость не защищает от мягкого захвата через назначения, бюджет, профессиональные стандарты, методики и поставщиков данных.</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Разделить кадровый, бюджетный, методологический, информационный и технический контроль между несовместимыми субъектами; не полагаться на один «независимый орган». Короткие невозобновляемые сроки; прозрачный конкурс; смешанное назначение; открытые методики; внешний аудит; отводы и журнал лоббизма.</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VIII §12; IX §§2–11, 14–16; XXXIV §§15–20</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D-04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Большинство гарантий предполагает, что хотя бы суд, парламент, оператор или контрольный орган останется независимым; при одновременном захвате они разрушаются.</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Каждая глава проходит тест одновременного захвата. Там, где институты могут быть захвачены, используются минимизация данных, распределённые ключи, публичные доказательства, автоматические сроки и невозможность тихого изменения правил.</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IX §§13, 18; XXXI §23; XXXIV §27; XXXV §25; XXXVI §23; XXXVII §18</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D-05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Создание нового органа неоправданно, если функцию могут выполнить существующие избирательные комиссии, аудиторы, омбудсмены, органы защиты данных и парламентские службы.</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Презумпция использования существующего органа. Новый временный субъект создаётся только при доказанной несовместимости функций или конфликте интересов. Обязательная записка необходимости; стоимость; контроль; данные; порядок ликвидации; запрет бессрочного продления.</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VIII §§3–4, 11, 14; XXXII §14</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D-06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Многочисленные жалобы по каждой стадии позволяют уничтожить календарь и актуальность инициативы.</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Все споры о формировании вопроса разрешаются до голосования в одном ускоренном процессе; фактические ошибки после голосования не пересматривают политический выбор автоматически. Единое окно; standing для затронутых лиц; короткие сроки; консолидация; запрет повторного иска по разрешённому основанию.</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VII §9; XV §11; XVII §11; XVIII §19; XXII §17; XXXII §13</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D-07</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Система создаёт транзакционные издержки, дублирование отчётности и стимулирует управление под метрики вместо результата.</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Риск-ориентированная глубина процедур; минимальный обязательный набор полей; запрет дублировать уже существующие данные; оценка административной мощности до включения механизма. Потолок стадий и сроков; единый каталог данных; выборочная глубокая оценка; аудит нагрузки; право прекратить неэффективный механизм.</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VII §§2, 8; XXIV §§11–12; XXV §13; XXVI §§3, 9; XXXIII §7</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D-08</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Публичность и медленная процедура могут конфликтовать с государственной тайной, оперативностью, обороной и чрезвычайными режимами; исключения способны поглотить правило.</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Поручение не раскрывает оперативные сведения и не вмешивается в индивидуальные дела. Секретность данных не отменяет внешний аудит, публичное резюме и периодический пересмотр. Допущенный независимый аудитор; закрытая судебная проверка; совокупный предел чрезвычайного режима; запрет повторять одно основание бесконечно.</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XV §§10, 13; XIX §22; XXV §11; XXVII §9; XXXII §18; XXXV §24; XXXVII §26</w:t>
            </w:r>
          </w:p>
        </w:tc>
        <w:tc>
          <w:tcPr>
            <w:tcW w:type="dxa" w:w="1701"/>
            <w:shd w:fill="FCE4D6"/>
            <w:tcMar>
              <w:top w:w="55" w:type="dxa"/>
              <w:start w:w="65" w:type="dxa"/>
              <w:bottom w:w="55" w:type="dxa"/>
              <w:end w:w="65" w:type="dxa"/>
            </w:tcMar>
            <w:vAlign w:val="top"/>
          </w:tcPr>
          <w:p>
            <w:pPr>
              <w:spacing w:after="0"/>
            </w:pPr>
            <w:r>
              <w:rPr>
                <w:rFonts w:ascii="Arial" w:hAnsi="Arial" w:eastAsia="Arial"/>
                <w:b/>
                <w:i w:val="0"/>
                <w:color w:val="1F1F1F"/>
                <w:sz w:val="14"/>
              </w:rPr>
              <w:t>Неустранимый остаточный риск</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Секретность и оперативность нельзя полностью совместить с максимальной публичностью. Допустим только узкий закрытый контур с независимым допущенным аудитом и срочным пересмотром.</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D-09</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Власть может менять пороги и методики между циклами либо поддерживать «вечный пилот» при падающем участии и усталости граждан.</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Фундаментальные правила фиксируются задолго до цикла; изменение действует только на следующий цикл; пилот и временный орган прекращаются автоматически без нового решения. Stability period; version lock; автоматическое прекращение по истечении срока; критерии участия и доверия; обязательный перерыв/упрощение при усталости.</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IX §§11–12; XXX §§2–9; XXXI §§18–19; XXXII §17</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bl>
    <w:p>
      <w:pPr>
        <w:widowControl/>
      </w:pP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E-01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Полная система может стоить сотни миллионов или миллиарды, а дополнительная ценность по сравнению с более простыми инструментами не доказана.</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Никакого национального масштаба без открытой финансовой модели и доказанного преимущества пилота. Стоимость запуска/цикла/участника/пункта; сравнение с альтернативой; независимый cost-benefit review; расходные ворота.</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 §8; III §9; XXXI §§6, 8, 15–19; XXXIII §§7–8, 20</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E-02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Рецессия или иной бюджетный шок делает портфель несовместимым; любой выбор приоритетов будет представлен как нарушение мандата.</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До голосования раскрывать совместимость в нескольких сценариях; не обещать одновременную реализацию несовместимых пунктов; в шоке применять заранее заданную процедуру приоритизации и мотивировки. Stress scenarios; публичный порядок пересмотра; сохранение минимального ядра прав; парламентская бюджетная финальность.</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§§10, 12; XVIII §14; XXVII §10; XXXIII §§4–8</w:t>
            </w:r>
          </w:p>
        </w:tc>
        <w:tc>
          <w:tcPr>
            <w:tcW w:type="dxa" w:w="1701"/>
            <w:shd w:fill="FCE4D6"/>
            <w:tcMar>
              <w:top w:w="55" w:type="dxa"/>
              <w:start w:w="65" w:type="dxa"/>
              <w:bottom w:w="55" w:type="dxa"/>
              <w:end w:w="65" w:type="dxa"/>
            </w:tcMar>
            <w:vAlign w:val="top"/>
          </w:tcPr>
          <w:p>
            <w:pPr>
              <w:spacing w:after="0"/>
            </w:pPr>
            <w:r>
              <w:rPr>
                <w:rFonts w:ascii="Arial" w:hAnsi="Arial" w:eastAsia="Arial"/>
                <w:b/>
                <w:i w:val="0"/>
                <w:color w:val="1F1F1F"/>
                <w:sz w:val="14"/>
              </w:rPr>
              <w:t>Неустранимый остаточный риск</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Макроэкономический шок не может быть исключён архитектурой. Сохраняются парламентская бюджетная финальность, стресс-сценарии, приоритет прав и публичный пересмотр.</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E-03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Центр может получать политическую выгоду, передавая исполнение и расходы регионам и муниципалитетам без ресурсов.</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Нет согласия и финансирования компетентного уровня — нет обязанности исполнения этого уровня. Финансовый паспорт по уровням; автоматическое софинансирование; право отказа от нефинансируемого назначения; аудит передачи ресурсов.</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VI §12; XXIII §11; XXVII §12; XXXII §11; XXXIII §§4, 9</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E-04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Защищённое финансирование независимых органов может ограничить бюджетный суверенитет, а обычное финансирование — стать способом удушения.</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Бюджет утверждается парламентом, но отклонения от базовой потребности сопровождаются публичным заключением независимого фискального органа; временные функции имеют предельную численность и стоимость. Прозрачная формула; расходные потолки; внешний аудит; запрет скрытого финансирования подрядчиками; автоматическое прекращение по истечении срока.</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VIII §13; IX §6; XXXIII §§5–8, 16–20</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E-05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Поставщики платформ, консультанты и экспертные организации образуют экосистему, заинтересованную в постоянном усложнении и зависимость от одного поставщика.</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Открытые стандарты, переносимость, несколько поставщиков, право государства и независимых аудиторов воспроизвести систему. SBOM; reproducible builds; escrow исходников/ключей по строгому режиму; открытые закупки; запрет закрытых форматов и долгих эксклюзивов.</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IX §9; XXX §13; XXXIII §13; XXXVI §§10–12</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E-06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Фискальная экспертиза неизбежно содержит политические допущения и может скрывать распределение издержек между группами и поколениями.</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Фискальный орган не решает, какая инициатива допустима; он публикует диапазоны, чувствительность, источники, распределительные эффекты и риски поколений. Несколько базовых сценариев; открытые модели; запрет единственного «реалистичного» контура; особые мнения.</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XIV §§4–8; XVII §9; XVIII §14; XXXIII §12</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bl>
    <w:p>
      <w:pPr>
        <w:widowControl/>
      </w:pP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F-01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Цифровой канал может исключить граждан без устойчивого доступа, доверия, документов или цифровых навыков; формальный офлайн-канал может быть фикцией.</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Цифровой канал никогда не является единственным; очный и бумажный контуры должны обеспечивать функционально равное участие. Аудит пользовательских путей; мобильные группы; территориальные метрики; запрет считать нерепрезентативный результат общим.</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XI §§2–11; XII §5; XVIII §§6, 15; XXXI §11</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F-02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Недостаточная языковая, когнитивная и физическая доступность создаёт косвенную дискриминацию; помощь посредника может подменить волю гражданина.</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Материалы и каналы проектируются по стандарту универсальной доступности; помощь не допускает формулирования позиции за участника. Перевод; простые версии без потери смысла; ассистивные технологии; тайна помощи; тестирование с затронутыми группами.</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XI §§5–8; XIII §9; XVI §§3–5; XXII §15</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F-03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Официальное сравнение кандидатов может манипулировать цветом, порядком, дефолтными фильтрами и агрегированным баллом.</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Запретить итоговый рейтинг соответствия; публиковать сырые ответы, историю изменений и нейтральные структурированные поля. Независимый аудит пользовательского интерфейса; тесты симметрии; случайный/ротационный порядок; право исправить фактическую ошибку; открытая методика.</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XXII §§6–8, 17–19; XXXV §18</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F-04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Борьба с дезинформацией способна создать государственный арбитраж политической истины, цензуру СМИ и сдерживающий эффект для законной политической речи.</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Исключить общую квалификацию политической истины. Регулировать происхождение, заказчика, подделку, незаконную координацию, украденные данные и ложные инструкции о процедуре. Плюралистическая независимая проверка фактов без властного статуса; быстрое право на ответ; судебные меры только по узким составам; защита сатиры и мнения.</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XVI §6; XXXV §§4–12, 19–22</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F-05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Раскрытие финансирования и лоббизма может защитить от захвата, но создать реестр политических взглядов рядовых сторонников и инструмент селективного преследования.</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Раскрывать крупные расходы, профессиональную координацию и конечных бенефициаров; защищать личность обычных сторонников и малых доноров. Пороговый риск-ориентированный режим; антидробительные правила с правом опровержения; запрет вторичного использования данных.</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XXXIII §§10, 15; XXXIV §§4–6, 26; XXXVII §14</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F-06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Участие может создать политический профиль, риск увольнения, налогового давления, отказа в услугах и преследования; человек имеет право не становиться видимым и не участвовать.</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Право не участвовать и запрет неблагоприятного вывода закрепляются прямо; личность гражданина не связывается с политическим действием за пределами минимальной проверки права. Структурная несвязываемость; уголовный запрет профилирования; отдельные контуры; защита от трудовых, налоговых и социальных последствий.</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IX §17; XXXIV §26; XXXV §16; XXXVII §§2–9, 17–25</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F-07</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Требования раскрытия и регистрации могут подавить анонимную политическую речь, источники СМИ и безопасность уязвимых авторов.</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Публичная анонимность автора допустима; проверка права и существенного финансирования проводится в отдельном защищённом контуре без раскрытия широкой аудитории. Судебный доступ по узким основаниям; защита источников; минимизация; безопасный представитель инициативы.</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 §9; XXXIV §§4, 26; XXXV §5; XXXVII §§12–15, 23</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bl>
    <w:p>
      <w:pPr>
        <w:widowControl/>
      </w:pP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G-01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Нужно одновременно подтвердить право, исключить повторное действие, сохранить тайну, индивидуальную проверяемость, отсутствие передаваемой квитанции и независимый аудит.</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Доктрина задаёт проверяемые свойства и критерии отказа, а не объявляет систему безопасной. Юридически значимый цифровой результат — только после независимой сертификации и воспроизводимых атаковых тестов. Threat model; формальные протоколы; red team; публичные спецификации; бумажный/очный резерв; safe failure.</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XVIII §§15–18; XXXVI §§2–9, 19–25; XXXVII §§6–7</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G-02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Метаданные времени, сети, устройства, места и журналов поддержки могут восстановить политический профиль даже при криптографически скрытом содержании.</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Несвязываемость охватывает метаданные, подрядчиков, резервные копии и внешние реестры, а не только поля основной базы. Перемешивание и задержки; отсутствие единых журналов; сетевые посредники; независимые контуры; испытания на повторную идентификацию; запрет межреестровой корреляции.</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XXXVI §14; XXXVII §§2, 6, 8–11, 22</w:t>
            </w:r>
          </w:p>
        </w:tc>
        <w:tc>
          <w:tcPr>
            <w:tcW w:type="dxa" w:w="1701"/>
            <w:shd w:fill="FCE4D6"/>
            <w:tcMar>
              <w:top w:w="55" w:type="dxa"/>
              <w:start w:w="65" w:type="dxa"/>
              <w:bottom w:w="55" w:type="dxa"/>
              <w:end w:w="65" w:type="dxa"/>
            </w:tcMar>
            <w:vAlign w:val="top"/>
          </w:tcPr>
          <w:p>
            <w:pPr>
              <w:spacing w:after="0"/>
            </w:pPr>
            <w:r>
              <w:rPr>
                <w:rFonts w:ascii="Arial" w:hAnsi="Arial" w:eastAsia="Arial"/>
                <w:b/>
                <w:i w:val="0"/>
                <w:color w:val="1F1F1F"/>
                <w:sz w:val="14"/>
              </w:rPr>
              <w:t>Неустранимый остаточный риск</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Корреляцию метаданных невозможно гарантированно свести к нулю. Требуются минимизация, раздельные контуры, испытания на повторную идентификацию, запрет массового связывания и безопасный отказ.</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G-03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Удалённое голосование не устраняет семейное, работодателевое, покупное и иное принуждение; проверяемость может стать доказательством выбора третьему лицу.</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Удалённый канал не является обязательным и не используется в ранних юридически значимых пилотах. Очный защищённый канал всегда доступен. Повторное голосование с аннулированием удалённого выбора, где допустимо; отсутствие квитанции; контроль принуждения; отдельное решение о применимости.</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XVIII §16; XXXVI §§8–9, 26</w:t>
            </w:r>
          </w:p>
        </w:tc>
        <w:tc>
          <w:tcPr>
            <w:tcW w:type="dxa" w:w="1701"/>
            <w:shd w:fill="FCE4D6"/>
            <w:tcMar>
              <w:top w:w="55" w:type="dxa"/>
              <w:start w:w="65" w:type="dxa"/>
              <w:bottom w:w="55" w:type="dxa"/>
              <w:end w:w="65" w:type="dxa"/>
            </w:tcMar>
            <w:vAlign w:val="top"/>
          </w:tcPr>
          <w:p>
            <w:pPr>
              <w:spacing w:after="0"/>
            </w:pPr>
            <w:r>
              <w:rPr>
                <w:rFonts w:ascii="Arial" w:hAnsi="Arial" w:eastAsia="Arial"/>
                <w:b/>
                <w:i w:val="0"/>
                <w:color w:val="1F1F1F"/>
                <w:sz w:val="14"/>
              </w:rPr>
              <w:t>Неустранимый остаточный риск</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Удалённое принуждение не устраняется криптографией. Удалённый канал не является обязательным; юридически значимое применение допускается лишь после отдельного доказательства безопасности.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G-04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Инсайдер, поставщик, компрометация цепочки поставок или единственного технического оператора могут разрушить результат и доверие.</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Нулевая доверительная модель, несколько несовместимых держателей, программная независимость результата и воспроизводимость сборок. SBOM; key ceremonies; threshold cryptography; независимые сборки; сменяемость поставщика; аудит цепочки поставок.</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IX §9; XXXIII §13; XXXVI §§10–13, 21–23</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G-05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Реальная или преувеличенная кибератака может использоваться для отмены неудобного результата; даже слух способен разрушить легитимность.</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Матрица последствий инцидента утверждается заранее; ни один орган не может единолично отменить результат. Независимые журналы; бумажный источник истины; пороги для остановки/частичного пересчёта/переголосования; публичный технический отчёт.</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XVIII §23; XXXVI §§16–20, 24</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G-06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Невозможно доказать удаление политических данных и резервных копий; исследовательский доступ может привести к повторной идентификации.</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Автоматическое уничтожение по заранее установленному сроку; исследовательские наборы не содержат связующих данных и проходят риск повторной идентификации. Cryptographic erasure; сертификаты уничтожения; независимая проверка; ответственность за копии вне реестра; безопасные исследовательские среды.</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XXXVI §17; XXXVII §§11, 15, 19–22, 25</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G-07</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Исключения для антифрода и безопасности постепенно отменят несвязываемость; обещание абсолютной анонимности морально и технически неверно.</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Не обещать абсолютную анонимность; фиксировать измеримые свойства, остаточные риски и узкие судебные исключения без массового связывания. Многосторонний доступ; индивидуальный судебный ордер; запрет bulk correlation; журнал использования исключений без политического содержания; регулярный пересмотр.</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XXXVI §§4–5; XXXVII §§8, 17–18, 26</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bl>
    <w:p>
      <w:pPr>
        <w:widowControl/>
      </w:pP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652"/>
            <w:shd w:fill="17365D"/>
            <w:tcMar>
              <w:top w:w="75" w:type="dxa"/>
              <w:start w:w="80" w:type="dxa"/>
              <w:bottom w:w="75" w:type="dxa"/>
              <w:end w:w="80" w:type="dxa"/>
            </w:tcMar>
            <w:vAlign w:val="center"/>
          </w:tcPr>
          <w:p>
            <w:pPr>
              <w:jc w:val="center"/>
            </w:pPr>
            <w:r>
              <w:rPr>
                <w:rFonts w:ascii="Arial" w:hAnsi="Arial" w:eastAsia="Arial"/>
                <w:b/>
                <w:i w:val="0"/>
                <w:color w:val="FFFFFF"/>
                <w:sz w:val="14"/>
              </w:rPr>
              <w:t>ID</w:t>
            </w:r>
          </w:p>
        </w:tc>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4"/>
              </w:rPr>
              <w:t>Сильнейшая формулировка</w:t>
            </w:r>
          </w:p>
        </w:tc>
        <w:tc>
          <w:tcPr>
            <w:tcW w:type="dxa" w:w="3572"/>
            <w:shd w:fill="17365D"/>
            <w:tcMar>
              <w:top w:w="75" w:type="dxa"/>
              <w:start w:w="80" w:type="dxa"/>
              <w:bottom w:w="75" w:type="dxa"/>
              <w:end w:w="80" w:type="dxa"/>
            </w:tcMar>
            <w:vAlign w:val="center"/>
          </w:tcPr>
          <w:p>
            <w:pPr>
              <w:jc w:val="center"/>
            </w:pPr>
            <w:r>
              <w:rPr>
                <w:rFonts w:ascii="Arial" w:hAnsi="Arial" w:eastAsia="Arial"/>
                <w:b/>
                <w:i w:val="0"/>
                <w:color w:val="FFFFFF"/>
                <w:sz w:val="14"/>
              </w:rPr>
              <w:t>Архитектурное решение редакции 2.1</w:t>
            </w:r>
          </w:p>
        </w:tc>
        <w:tc>
          <w:tcPr>
            <w:tcW w:type="dxa" w:w="2353"/>
            <w:shd w:fill="17365D"/>
            <w:tcMar>
              <w:top w:w="75" w:type="dxa"/>
              <w:start w:w="80" w:type="dxa"/>
              <w:bottom w:w="75" w:type="dxa"/>
              <w:end w:w="80" w:type="dxa"/>
            </w:tcMar>
            <w:vAlign w:val="center"/>
          </w:tcPr>
          <w:p>
            <w:pPr>
              <w:jc w:val="center"/>
            </w:pPr>
            <w:r>
              <w:rPr>
                <w:rFonts w:ascii="Arial" w:hAnsi="Arial" w:eastAsia="Arial"/>
                <w:b/>
                <w:i w:val="0"/>
                <w:color w:val="FFFFFF"/>
                <w:sz w:val="14"/>
              </w:rPr>
              <w:t>Конкретное место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Статус</w:t>
            </w:r>
          </w:p>
        </w:tc>
        <w:tc>
          <w:tcPr>
            <w:tcW w:type="dxa" w:w="3969"/>
            <w:shd w:fill="17365D"/>
            <w:tcMar>
              <w:top w:w="75" w:type="dxa"/>
              <w:start w:w="80" w:type="dxa"/>
              <w:bottom w:w="75" w:type="dxa"/>
              <w:end w:w="80" w:type="dxa"/>
            </w:tcMar>
            <w:vAlign w:val="center"/>
          </w:tcPr>
          <w:p>
            <w:pPr>
              <w:jc w:val="center"/>
            </w:pPr>
            <w:r>
              <w:rPr>
                <w:rFonts w:ascii="Arial" w:hAnsi="Arial" w:eastAsia="Arial"/>
                <w:b/>
                <w:i w:val="0"/>
                <w:color w:val="FFFFFF"/>
                <w:sz w:val="14"/>
              </w:rPr>
              <w:t>Остаточный риск / контроль</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H-01</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Власть может изменить исходную базу или выбрать удобный показатель, чтобы показать прогресс.</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Предвыборная база, вступительная независимая база и все последующие версии сохраняются одновременно; основная метрика фиксируется до начала исполнения. Versioned methodology; пересчёт по старой и новой методике; сырые данные; независимая репликация.</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XXIII §13; XXIV §5; XXV §§6–9; XXVIII §5</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H-02</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Отчётность по процессам, количеству мероприятий и освоенным средствам может скрывать провал общественного эффекта; причинность сложна.</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Оценка многомерна: действия, ресурсы, промежуточный результат, конечный эффект, распределение и внешние факторы. Единого процента нет. Критический путь; вес ключевых этапов; основной и защитные показатели; отдельная оценка контролируемых действий.</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XXIV §§6, 11–12; XXV §§7, 13; XXVI §§7–9; XXVIII §6</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H-03</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Промежуточная и итоговая оценка может стать политическим судом экспертов и официальным решением о пригодности к переизбранию.</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Оценка — доказательный многоголосый отчёт без единого официального балла и без автоматических санкций. Особые мнения; право органов на ответ; прозрачная методика; отделение фактических ошибок от политического несогласия.</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XXVI §§4–14; XXVIII §§4–14; XXIX §§2–5</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H-04</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Замена обязательства может быть ослабленной альтернативой, а форс-мажор — постоянным оправданием; запрет изменения курса опасен.</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Сравнивать цель, охват, срок, стоимость, правовой эффект и распределительные последствия; контроль оценивает полноту объяснения, но не выдаёт политическое разрешение. Сравнительная таблица; журнал версий; совокупный предел чрезвычайной приостановки; публикация альтернатив.</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V §12; XXIII §16; XXVII §§3–15</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H-05</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Засекречивание или задержка данных делает контроль декларативным, а максимальная прозрачность может раскрывать политические профили.</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Максимальная открытость государственных результатов и методик сочетается с минимизацией данных граждан; секретные сведения проверяются независимым допущенным аудитором. Open data API; журнал исправлений; публичное резюме секретного аудита; запрет публикации микроданных участия.</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XXV §§5, 10–12; XXXV §23; XXXVII §§8–15</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r>
        <w:trPr>
          <w:cantSplit w:val="true"/>
        </w:trPr>
        <w:tc>
          <w:tcPr>
            <w:tcW w:type="dxa" w:w="652"/>
            <w:shd w:fill="EEF4F9"/>
            <w:tcMar>
              <w:top w:w="55" w:type="dxa"/>
              <w:start w:w="65" w:type="dxa"/>
              <w:bottom w:w="55" w:type="dxa"/>
              <w:end w:w="65" w:type="dxa"/>
            </w:tcMar>
            <w:vAlign w:val="top"/>
          </w:tcPr>
          <w:p>
            <w:pPr>
              <w:spacing w:after="0"/>
            </w:pPr>
            <w:r>
              <w:rPr>
                <w:rFonts w:ascii="Arial" w:hAnsi="Arial" w:eastAsia="Arial"/>
                <w:b/>
                <w:i w:val="0"/>
                <w:color w:val="1F1F1F"/>
                <w:sz w:val="14"/>
              </w:rPr>
              <w:t>H-06</w:t>
            </w:r>
          </w:p>
        </w:tc>
        <w:tc>
          <w:tcPr>
            <w:tcW w:type="dxa" w:w="2948"/>
            <w:shd w:fill="EEF4F9"/>
            <w:tcMar>
              <w:top w:w="55" w:type="dxa"/>
              <w:start w:w="65" w:type="dxa"/>
              <w:bottom w:w="55" w:type="dxa"/>
              <w:end w:w="65" w:type="dxa"/>
            </w:tcMar>
            <w:vAlign w:val="top"/>
          </w:tcPr>
          <w:p>
            <w:pPr>
              <w:spacing w:after="0"/>
            </w:pPr>
            <w:r>
              <w:rPr>
                <w:rFonts w:ascii="Arial" w:hAnsi="Arial" w:eastAsia="Arial"/>
                <w:b w:val="0"/>
                <w:i w:val="0"/>
                <w:color w:val="1F1F1F"/>
                <w:sz w:val="14"/>
              </w:rPr>
              <w:t>Пилот может быть объявлен успешным оператором, продолжаться бесконечно или игнорировать отрицательный результат.</w:t>
            </w:r>
          </w:p>
        </w:tc>
        <w:tc>
          <w:tcPr>
            <w:tcW w:type="dxa" w:w="3572"/>
            <w:shd w:fill="EEF4F9"/>
            <w:tcMar>
              <w:top w:w="55" w:type="dxa"/>
              <w:start w:w="65" w:type="dxa"/>
              <w:bottom w:w="55" w:type="dxa"/>
              <w:end w:w="65" w:type="dxa"/>
            </w:tcMar>
            <w:vAlign w:val="top"/>
          </w:tcPr>
          <w:p>
            <w:pPr>
              <w:spacing w:after="0"/>
            </w:pPr>
            <w:r>
              <w:rPr>
                <w:rFonts w:ascii="Arial" w:hAnsi="Arial" w:eastAsia="Arial"/>
                <w:b w:val="0"/>
                <w:i w:val="0"/>
                <w:color w:val="1F1F1F"/>
                <w:sz w:val="14"/>
              </w:rPr>
              <w:t>Гипотезы, критерии успеха/провала, данные и оценщик регистрируются до запуска; пилот прекращается автоматически без положительного независимого решения. Independent evaluator; контрольная территория; два воспроизводимых цикла; funding gates; автоматическое прекращение по истечении срока.</w:t>
            </w:r>
          </w:p>
        </w:tc>
        <w:tc>
          <w:tcPr>
            <w:tcW w:type="dxa" w:w="2353"/>
            <w:shd w:fill="EEF4F9"/>
            <w:tcMar>
              <w:top w:w="55" w:type="dxa"/>
              <w:start w:w="65" w:type="dxa"/>
              <w:bottom w:w="55" w:type="dxa"/>
              <w:end w:w="65" w:type="dxa"/>
            </w:tcMar>
            <w:vAlign w:val="top"/>
          </w:tcPr>
          <w:p>
            <w:pPr>
              <w:spacing w:after="0"/>
            </w:pPr>
            <w:r>
              <w:rPr>
                <w:rFonts w:ascii="Arial" w:hAnsi="Arial" w:eastAsia="Arial"/>
                <w:b w:val="0"/>
                <w:i w:val="0"/>
                <w:color w:val="1F1F1F"/>
                <w:sz w:val="14"/>
              </w:rPr>
              <w:t>Гл. XXXI §§6, 8–9, 15–19</w:t>
            </w:r>
          </w:p>
        </w:tc>
        <w:tc>
          <w:tcPr>
            <w:tcW w:type="dxa" w:w="1701"/>
            <w:shd w:fill="E2F0D9"/>
            <w:tcMar>
              <w:top w:w="55" w:type="dxa"/>
              <w:start w:w="65" w:type="dxa"/>
              <w:bottom w:w="55" w:type="dxa"/>
              <w:end w:w="65" w:type="dxa"/>
            </w:tcMar>
            <w:vAlign w:val="top"/>
          </w:tcPr>
          <w:p>
            <w:pPr>
              <w:spacing w:after="0"/>
            </w:pPr>
            <w:r>
              <w:rPr>
                <w:rFonts w:ascii="Arial" w:hAnsi="Arial" w:eastAsia="Arial"/>
                <w:b/>
                <w:i w:val="0"/>
                <w:color w:val="1F1F1F"/>
                <w:sz w:val="14"/>
              </w:rPr>
              <w:t>Устранено</w:t>
            </w:r>
          </w:p>
        </w:tc>
        <w:tc>
          <w:tcPr>
            <w:tcW w:type="dxa" w:w="3969"/>
            <w:shd w:fill="EEF4F9"/>
            <w:tcMar>
              <w:top w:w="55" w:type="dxa"/>
              <w:start w:w="65" w:type="dxa"/>
              <w:bottom w:w="55" w:type="dxa"/>
              <w:end w:w="65" w:type="dxa"/>
            </w:tcMar>
            <w:vAlign w:val="top"/>
          </w:tcPr>
          <w:p>
            <w:pPr>
              <w:spacing w:after="0"/>
            </w:pPr>
            <w:r>
              <w:rPr>
                <w:rFonts w:ascii="Arial" w:hAnsi="Arial" w:eastAsia="Arial"/>
                <w:b w:val="0"/>
                <w:i w:val="0"/>
                <w:color w:val="1F1F1F"/>
                <w:sz w:val="14"/>
              </w:rPr>
              <w:t>Порождающая дефект неопределённость устранена прямой нормой, распределением компетенции, контролем и средством обжалования. Повторная регрессионная проверка не выявила известного обхода на уровне текста; практическая проверка сохраняется.</w:t>
            </w:r>
          </w:p>
        </w:tc>
      </w:tr>
      <w:tr>
        <w:trPr>
          <w:cantSplit w:val="true"/>
        </w:trPr>
        <w:tc>
          <w:tcPr>
            <w:tcW w:type="dxa" w:w="652"/>
            <w:shd w:fill="FFFFFF"/>
            <w:tcMar>
              <w:top w:w="55" w:type="dxa"/>
              <w:start w:w="65" w:type="dxa"/>
              <w:bottom w:w="55" w:type="dxa"/>
              <w:end w:w="65" w:type="dxa"/>
            </w:tcMar>
            <w:vAlign w:val="top"/>
          </w:tcPr>
          <w:p>
            <w:pPr>
              <w:spacing w:after="0"/>
            </w:pPr>
            <w:r>
              <w:rPr>
                <w:rFonts w:ascii="Arial" w:hAnsi="Arial" w:eastAsia="Arial"/>
                <w:b/>
                <w:i w:val="0"/>
                <w:color w:val="1F1F1F"/>
                <w:sz w:val="14"/>
              </w:rPr>
              <w:t>H-07</w:t>
            </w:r>
          </w:p>
        </w:tc>
        <w:tc>
          <w:tcPr>
            <w:tcW w:type="dxa" w:w="2948"/>
            <w:shd w:fill="FFFFFF"/>
            <w:tcMar>
              <w:top w:w="55" w:type="dxa"/>
              <w:start w:w="65" w:type="dxa"/>
              <w:bottom w:w="55" w:type="dxa"/>
              <w:end w:w="65" w:type="dxa"/>
            </w:tcMar>
            <w:vAlign w:val="top"/>
          </w:tcPr>
          <w:p>
            <w:pPr>
              <w:spacing w:after="0"/>
            </w:pPr>
            <w:r>
              <w:rPr>
                <w:rFonts w:ascii="Arial" w:hAnsi="Arial" w:eastAsia="Arial"/>
                <w:b w:val="0"/>
                <w:i w:val="0"/>
                <w:color w:val="1F1F1F"/>
                <w:sz w:val="14"/>
              </w:rPr>
              <w:t>Преждевременное масштабирование и конституционализация закрепят ошибки; универсальный текст может скрыть несовместимость с конкретной страной.</w:t>
            </w:r>
          </w:p>
        </w:tc>
        <w:tc>
          <w:tcPr>
            <w:tcW w:type="dxa" w:w="3572"/>
            <w:shd w:fill="FFFFFF"/>
            <w:tcMar>
              <w:top w:w="55" w:type="dxa"/>
              <w:start w:w="65" w:type="dxa"/>
              <w:bottom w:w="55" w:type="dxa"/>
              <w:end w:w="65" w:type="dxa"/>
            </w:tcMar>
            <w:vAlign w:val="top"/>
          </w:tcPr>
          <w:p>
            <w:pPr>
              <w:spacing w:after="0"/>
            </w:pPr>
            <w:r>
              <w:rPr>
                <w:rFonts w:ascii="Arial" w:hAnsi="Arial" w:eastAsia="Arial"/>
                <w:b w:val="0"/>
                <w:i w:val="0"/>
                <w:color w:val="1F1F1F"/>
                <w:sz w:val="14"/>
              </w:rPr>
              <w:t>Универсальная Доктрина не является готовой конституционной нормой. Национальные версии готовятся после универсальной редакции и отдельного сравнительно-правового анализа. Ступени: моделирование → муниципальный консультативный пилот → региональные циклы → национальный консультативный цикл → отдельное решение о закреплении.</w:t>
            </w:r>
          </w:p>
        </w:tc>
        <w:tc>
          <w:tcPr>
            <w:tcW w:type="dxa" w:w="2353"/>
            <w:shd w:fill="FFFFFF"/>
            <w:tcMar>
              <w:top w:w="55" w:type="dxa"/>
              <w:start w:w="65" w:type="dxa"/>
              <w:bottom w:w="55" w:type="dxa"/>
              <w:end w:w="65" w:type="dxa"/>
            </w:tcMar>
            <w:vAlign w:val="top"/>
          </w:tcPr>
          <w:p>
            <w:pPr>
              <w:spacing w:after="0"/>
            </w:pPr>
            <w:r>
              <w:rPr>
                <w:rFonts w:ascii="Arial" w:hAnsi="Arial" w:eastAsia="Arial"/>
                <w:b w:val="0"/>
                <w:i w:val="0"/>
                <w:color w:val="1F1F1F"/>
                <w:sz w:val="14"/>
              </w:rPr>
              <w:t>Гл. III §§8–9; XXXI §§5, 17–19; XXXII §§3–6, 19–20</w:t>
            </w:r>
          </w:p>
        </w:tc>
        <w:tc>
          <w:tcPr>
            <w:tcW w:type="dxa" w:w="1701"/>
            <w:shd w:fill="FFF2CC"/>
            <w:tcMar>
              <w:top w:w="55" w:type="dxa"/>
              <w:start w:w="65" w:type="dxa"/>
              <w:bottom w:w="55" w:type="dxa"/>
              <w:end w:w="65" w:type="dxa"/>
            </w:tcMar>
            <w:vAlign w:val="top"/>
          </w:tcPr>
          <w:p>
            <w:pPr>
              <w:spacing w:after="0"/>
            </w:pPr>
            <w:r>
              <w:rPr>
                <w:rFonts w:ascii="Arial" w:hAnsi="Arial" w:eastAsia="Arial"/>
                <w:b/>
                <w:i w:val="0"/>
                <w:color w:val="1F1F1F"/>
                <w:sz w:val="14"/>
              </w:rPr>
              <w:t>Существенно ограничено</w:t>
            </w:r>
          </w:p>
        </w:tc>
        <w:tc>
          <w:tcPr>
            <w:tcW w:type="dxa" w:w="3969"/>
            <w:shd w:fill="FFFFFF"/>
            <w:tcMar>
              <w:top w:w="55" w:type="dxa"/>
              <w:start w:w="65" w:type="dxa"/>
              <w:bottom w:w="55" w:type="dxa"/>
              <w:end w:w="65" w:type="dxa"/>
            </w:tcMar>
            <w:vAlign w:val="top"/>
          </w:tcPr>
          <w:p>
            <w:pPr>
              <w:spacing w:after="0"/>
            </w:pPr>
            <w:r>
              <w:rPr>
                <w:rFonts w:ascii="Arial" w:hAnsi="Arial" w:eastAsia="Arial"/>
                <w:b w:val="0"/>
                <w:i w:val="0"/>
                <w:color w:val="1F1F1F"/>
                <w:sz w:val="14"/>
              </w:rPr>
              <w:t>Риск ограничен несколькими взаимными механизмами, но его окончательная величина зависит от национального права, качества пилота, ресурсов либо конкретной технической реализации.</w:t>
            </w:r>
          </w:p>
        </w:tc>
      </w:tr>
    </w:tbl>
    <w:p>
      <w:pPr>
        <w:widowControl/>
      </w:pPr>
    </w:p>
    <w:p>
      <w:pPr>
        <w:pStyle w:val="Heading2"/>
        <w:keepNext/>
        <w:widowControl/>
      </w:pPr>
      <w:r>
        <w:t>B.2. Абсолютные возражения, не подтверждённые профессиональной проверкой</w:t>
      </w: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5178"/>
        <w:gridCol w:w="5178"/>
        <w:gridCol w:w="5178"/>
      </w:tblGrid>
      <w:tr>
        <w:trPr>
          <w:tblHeader w:val="true"/>
        </w:trPr>
        <w:tc>
          <w:tcPr>
            <w:tcW w:type="dxa" w:w="850"/>
            <w:shd w:fill="17365D"/>
            <w:tcMar>
              <w:top w:w="75" w:type="dxa"/>
              <w:start w:w="80" w:type="dxa"/>
              <w:bottom w:w="75" w:type="dxa"/>
              <w:end w:w="80" w:type="dxa"/>
            </w:tcMar>
            <w:vAlign w:val="center"/>
          </w:tcPr>
          <w:p>
            <w:pPr>
              <w:jc w:val="center"/>
            </w:pPr>
            <w:r>
              <w:rPr>
                <w:rFonts w:ascii="Arial" w:hAnsi="Arial" w:eastAsia="Arial"/>
                <w:b/>
                <w:i w:val="0"/>
                <w:color w:val="FFFFFF"/>
                <w:sz w:val="16"/>
              </w:rPr>
              <w:t>ID</w:t>
            </w:r>
          </w:p>
        </w:tc>
        <w:tc>
          <w:tcPr>
            <w:tcW w:type="dxa" w:w="5670"/>
            <w:shd w:fill="17365D"/>
            <w:tcMar>
              <w:top w:w="75" w:type="dxa"/>
              <w:start w:w="80" w:type="dxa"/>
              <w:bottom w:w="75" w:type="dxa"/>
              <w:end w:w="80" w:type="dxa"/>
            </w:tcMar>
            <w:vAlign w:val="center"/>
          </w:tcPr>
          <w:p>
            <w:pPr>
              <w:jc w:val="center"/>
            </w:pPr>
            <w:r>
              <w:rPr>
                <w:rFonts w:ascii="Arial" w:hAnsi="Arial" w:eastAsia="Arial"/>
                <w:b/>
                <w:i w:val="0"/>
                <w:color w:val="FFFFFF"/>
                <w:sz w:val="16"/>
              </w:rPr>
              <w:t>Абсолютный тезис</w:t>
            </w:r>
          </w:p>
        </w:tc>
        <w:tc>
          <w:tcPr>
            <w:tcW w:type="dxa" w:w="8618"/>
            <w:shd w:fill="17365D"/>
            <w:tcMar>
              <w:top w:w="75" w:type="dxa"/>
              <w:start w:w="80" w:type="dxa"/>
              <w:bottom w:w="75" w:type="dxa"/>
              <w:end w:w="80" w:type="dxa"/>
            </w:tcMar>
            <w:vAlign w:val="center"/>
          </w:tcPr>
          <w:p>
            <w:pPr>
              <w:jc w:val="center"/>
            </w:pPr>
            <w:r>
              <w:rPr>
                <w:rFonts w:ascii="Arial" w:hAnsi="Arial" w:eastAsia="Arial"/>
                <w:b/>
                <w:i w:val="0"/>
                <w:color w:val="FFFFFF"/>
                <w:sz w:val="16"/>
              </w:rPr>
              <w:t>Результат повторной проверки</w:t>
            </w:r>
          </w:p>
        </w:tc>
      </w:tr>
      <w:tr>
        <w:trPr>
          <w:cantSplit w:val="true"/>
        </w:trPr>
        <w:tc>
          <w:tcPr>
            <w:tcW w:type="dxa" w:w="850"/>
            <w:shd w:fill="FFFFFF"/>
            <w:tcMar>
              <w:top w:w="55" w:type="dxa"/>
              <w:start w:w="65" w:type="dxa"/>
              <w:bottom w:w="55" w:type="dxa"/>
              <w:end w:w="65" w:type="dxa"/>
            </w:tcMar>
            <w:vAlign w:val="top"/>
          </w:tcPr>
          <w:p>
            <w:pPr>
              <w:spacing w:after="0"/>
            </w:pPr>
            <w:r>
              <w:rPr>
                <w:rFonts w:ascii="Arial" w:hAnsi="Arial" w:eastAsia="Arial"/>
                <w:b/>
                <w:i w:val="0"/>
                <w:color w:val="1F1F1F"/>
                <w:sz w:val="16"/>
              </w:rPr>
              <w:t>U-01</w:t>
            </w:r>
          </w:p>
        </w:tc>
        <w:tc>
          <w:tcPr>
            <w:tcW w:type="dxa" w:w="5670"/>
            <w:shd w:fill="FFFFFF"/>
            <w:tcMar>
              <w:top w:w="55" w:type="dxa"/>
              <w:start w:w="65" w:type="dxa"/>
              <w:bottom w:w="55" w:type="dxa"/>
              <w:end w:w="65" w:type="dxa"/>
            </w:tcMar>
            <w:vAlign w:val="top"/>
          </w:tcPr>
          <w:p>
            <w:pPr>
              <w:spacing w:after="0"/>
            </w:pPr>
            <w:r>
              <w:rPr>
                <w:rFonts w:ascii="Arial" w:hAnsi="Arial" w:eastAsia="Arial"/>
                <w:b w:val="0"/>
                <w:i w:val="0"/>
                <w:color w:val="1F1F1F"/>
                <w:sz w:val="16"/>
              </w:rPr>
              <w:t>«Граждане вообще не должны участвовать между выборами».</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Не подтверждено: законные формы участия совместимы с представительной демократией.</w:t>
            </w:r>
          </w:p>
        </w:tc>
      </w:tr>
      <w:tr>
        <w:trPr>
          <w:cantSplit w:val="true"/>
        </w:trPr>
        <w:tc>
          <w:tcPr>
            <w:tcW w:type="dxa" w:w="850"/>
            <w:shd w:fill="EEF4F9"/>
            <w:tcMar>
              <w:top w:w="55" w:type="dxa"/>
              <w:start w:w="65" w:type="dxa"/>
              <w:bottom w:w="55" w:type="dxa"/>
              <w:end w:w="65" w:type="dxa"/>
            </w:tcMar>
            <w:vAlign w:val="top"/>
          </w:tcPr>
          <w:p>
            <w:pPr>
              <w:spacing w:after="0"/>
            </w:pPr>
            <w:r>
              <w:rPr>
                <w:rFonts w:ascii="Arial" w:hAnsi="Arial" w:eastAsia="Arial"/>
                <w:b/>
                <w:i w:val="0"/>
                <w:color w:val="1F1F1F"/>
                <w:sz w:val="16"/>
              </w:rPr>
              <w:t>U-02</w:t>
            </w:r>
          </w:p>
        </w:tc>
        <w:tc>
          <w:tcPr>
            <w:tcW w:type="dxa" w:w="5670"/>
            <w:shd w:fill="EEF4F9"/>
            <w:tcMar>
              <w:top w:w="55" w:type="dxa"/>
              <w:start w:w="65" w:type="dxa"/>
              <w:bottom w:w="55" w:type="dxa"/>
              <w:end w:w="65" w:type="dxa"/>
            </w:tcMar>
            <w:vAlign w:val="top"/>
          </w:tcPr>
          <w:p>
            <w:pPr>
              <w:spacing w:after="0"/>
            </w:pPr>
            <w:r>
              <w:rPr>
                <w:rFonts w:ascii="Arial" w:hAnsi="Arial" w:eastAsia="Arial"/>
                <w:b w:val="0"/>
                <w:i w:val="0"/>
                <w:color w:val="1F1F1F"/>
                <w:sz w:val="16"/>
              </w:rPr>
              <w:t>«Любая прямая демократия — власть толпы».</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Идеологическое обобщение; риск зависит от процедуры и защиты прав.</w:t>
            </w:r>
          </w:p>
        </w:tc>
      </w:tr>
      <w:tr>
        <w:trPr>
          <w:cantSplit w:val="true"/>
        </w:trPr>
        <w:tc>
          <w:tcPr>
            <w:tcW w:type="dxa" w:w="850"/>
            <w:shd w:fill="FFFFFF"/>
            <w:tcMar>
              <w:top w:w="55" w:type="dxa"/>
              <w:start w:w="65" w:type="dxa"/>
              <w:bottom w:w="55" w:type="dxa"/>
              <w:end w:w="65" w:type="dxa"/>
            </w:tcMar>
            <w:vAlign w:val="top"/>
          </w:tcPr>
          <w:p>
            <w:pPr>
              <w:spacing w:after="0"/>
            </w:pPr>
            <w:r>
              <w:rPr>
                <w:rFonts w:ascii="Arial" w:hAnsi="Arial" w:eastAsia="Arial"/>
                <w:b/>
                <w:i w:val="0"/>
                <w:color w:val="1F1F1F"/>
                <w:sz w:val="16"/>
              </w:rPr>
              <w:t>U-03</w:t>
            </w:r>
          </w:p>
        </w:tc>
        <w:tc>
          <w:tcPr>
            <w:tcW w:type="dxa" w:w="5670"/>
            <w:shd w:fill="FFFFFF"/>
            <w:tcMar>
              <w:top w:w="55" w:type="dxa"/>
              <w:start w:w="65" w:type="dxa"/>
              <w:bottom w:w="55" w:type="dxa"/>
              <w:end w:w="65" w:type="dxa"/>
            </w:tcMar>
            <w:vAlign w:val="top"/>
          </w:tcPr>
          <w:p>
            <w:pPr>
              <w:spacing w:after="0"/>
            </w:pPr>
            <w:r>
              <w:rPr>
                <w:rFonts w:ascii="Arial" w:hAnsi="Arial" w:eastAsia="Arial"/>
                <w:b w:val="0"/>
                <w:i w:val="0"/>
                <w:color w:val="1F1F1F"/>
                <w:sz w:val="16"/>
              </w:rPr>
              <w:t>«Эксперты должны иметь окончательное право решать».</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Отвергнуто: экспертиза раскрывает последствия, но не заменяет политический выбор.</w:t>
            </w:r>
          </w:p>
        </w:tc>
      </w:tr>
      <w:tr>
        <w:trPr>
          <w:cantSplit w:val="true"/>
        </w:trPr>
        <w:tc>
          <w:tcPr>
            <w:tcW w:type="dxa" w:w="850"/>
            <w:shd w:fill="EEF4F9"/>
            <w:tcMar>
              <w:top w:w="55" w:type="dxa"/>
              <w:start w:w="65" w:type="dxa"/>
              <w:bottom w:w="55" w:type="dxa"/>
              <w:end w:w="65" w:type="dxa"/>
            </w:tcMar>
            <w:vAlign w:val="top"/>
          </w:tcPr>
          <w:p>
            <w:pPr>
              <w:spacing w:after="0"/>
            </w:pPr>
            <w:r>
              <w:rPr>
                <w:rFonts w:ascii="Arial" w:hAnsi="Arial" w:eastAsia="Arial"/>
                <w:b/>
                <w:i w:val="0"/>
                <w:color w:val="1F1F1F"/>
                <w:sz w:val="16"/>
              </w:rPr>
              <w:t>U-04</w:t>
            </w:r>
          </w:p>
        </w:tc>
        <w:tc>
          <w:tcPr>
            <w:tcW w:type="dxa" w:w="5670"/>
            <w:shd w:fill="EEF4F9"/>
            <w:tcMar>
              <w:top w:w="55" w:type="dxa"/>
              <w:start w:w="65" w:type="dxa"/>
              <w:bottom w:w="55" w:type="dxa"/>
              <w:end w:w="65" w:type="dxa"/>
            </w:tcMar>
            <w:vAlign w:val="top"/>
          </w:tcPr>
          <w:p>
            <w:pPr>
              <w:spacing w:after="0"/>
            </w:pPr>
            <w:r>
              <w:rPr>
                <w:rFonts w:ascii="Arial" w:hAnsi="Arial" w:eastAsia="Arial"/>
                <w:b w:val="0"/>
                <w:i w:val="0"/>
                <w:color w:val="1F1F1F"/>
                <w:sz w:val="16"/>
              </w:rPr>
              <w:t>«Любая отчётность мешает государству».</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Не подтверждено: точная и пропорциональная отчётность повышает проверяемость.</w:t>
            </w:r>
          </w:p>
        </w:tc>
      </w:tr>
      <w:tr>
        <w:trPr>
          <w:cantSplit w:val="true"/>
        </w:trPr>
        <w:tc>
          <w:tcPr>
            <w:tcW w:type="dxa" w:w="850"/>
            <w:shd w:fill="FFFFFF"/>
            <w:tcMar>
              <w:top w:w="55" w:type="dxa"/>
              <w:start w:w="65" w:type="dxa"/>
              <w:bottom w:w="55" w:type="dxa"/>
              <w:end w:w="65" w:type="dxa"/>
            </w:tcMar>
            <w:vAlign w:val="top"/>
          </w:tcPr>
          <w:p>
            <w:pPr>
              <w:spacing w:after="0"/>
            </w:pPr>
            <w:r>
              <w:rPr>
                <w:rFonts w:ascii="Arial" w:hAnsi="Arial" w:eastAsia="Arial"/>
                <w:b/>
                <w:i w:val="0"/>
                <w:color w:val="1F1F1F"/>
                <w:sz w:val="16"/>
              </w:rPr>
              <w:t>U-05</w:t>
            </w:r>
          </w:p>
        </w:tc>
        <w:tc>
          <w:tcPr>
            <w:tcW w:type="dxa" w:w="5670"/>
            <w:shd w:fill="FFFFFF"/>
            <w:tcMar>
              <w:top w:w="55" w:type="dxa"/>
              <w:start w:w="65" w:type="dxa"/>
              <w:bottom w:w="55" w:type="dxa"/>
              <w:end w:w="65" w:type="dxa"/>
            </w:tcMar>
            <w:vAlign w:val="top"/>
          </w:tcPr>
          <w:p>
            <w:pPr>
              <w:spacing w:after="0"/>
            </w:pPr>
            <w:r>
              <w:rPr>
                <w:rFonts w:ascii="Arial" w:hAnsi="Arial" w:eastAsia="Arial"/>
                <w:b w:val="0"/>
                <w:i w:val="0"/>
                <w:color w:val="1F1F1F"/>
                <w:sz w:val="16"/>
              </w:rPr>
              <w:t>«Цифровые риски требуют полного запрета цифровых каналов».</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Не подтверждено: цифровые каналы допустимы при резерве, добровольности и доказуемой защите.</w:t>
            </w:r>
          </w:p>
        </w:tc>
      </w:tr>
      <w:tr>
        <w:trPr>
          <w:cantSplit w:val="true"/>
        </w:trPr>
        <w:tc>
          <w:tcPr>
            <w:tcW w:type="dxa" w:w="850"/>
            <w:shd w:fill="EEF4F9"/>
            <w:tcMar>
              <w:top w:w="55" w:type="dxa"/>
              <w:start w:w="65" w:type="dxa"/>
              <w:bottom w:w="55" w:type="dxa"/>
              <w:end w:w="65" w:type="dxa"/>
            </w:tcMar>
            <w:vAlign w:val="top"/>
          </w:tcPr>
          <w:p>
            <w:pPr>
              <w:spacing w:after="0"/>
            </w:pPr>
            <w:r>
              <w:rPr>
                <w:rFonts w:ascii="Arial" w:hAnsi="Arial" w:eastAsia="Arial"/>
                <w:b/>
                <w:i w:val="0"/>
                <w:color w:val="1F1F1F"/>
                <w:sz w:val="16"/>
              </w:rPr>
              <w:t>U-06</w:t>
            </w:r>
          </w:p>
        </w:tc>
        <w:tc>
          <w:tcPr>
            <w:tcW w:type="dxa" w:w="5670"/>
            <w:shd w:fill="EEF4F9"/>
            <w:tcMar>
              <w:top w:w="55" w:type="dxa"/>
              <w:start w:w="65" w:type="dxa"/>
              <w:bottom w:w="55" w:type="dxa"/>
              <w:end w:w="65" w:type="dxa"/>
            </w:tcMar>
            <w:vAlign w:val="top"/>
          </w:tcPr>
          <w:p>
            <w:pPr>
              <w:spacing w:after="0"/>
            </w:pPr>
            <w:r>
              <w:rPr>
                <w:rFonts w:ascii="Arial" w:hAnsi="Arial" w:eastAsia="Arial"/>
                <w:b w:val="0"/>
                <w:i w:val="0"/>
                <w:color w:val="1F1F1F"/>
                <w:sz w:val="16"/>
              </w:rPr>
              <w:t>«Существующие выборы полностью решают проблему».</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Не подтверждено: выбор кандидата не даёт сопоставимой позиции по отдельным стратегическим вопросам.</w:t>
            </w:r>
          </w:p>
        </w:tc>
      </w:tr>
      <w:tr>
        <w:trPr>
          <w:cantSplit w:val="true"/>
        </w:trPr>
        <w:tc>
          <w:tcPr>
            <w:tcW w:type="dxa" w:w="850"/>
            <w:shd w:fill="FFFFFF"/>
            <w:tcMar>
              <w:top w:w="55" w:type="dxa"/>
              <w:start w:w="65" w:type="dxa"/>
              <w:bottom w:w="55" w:type="dxa"/>
              <w:end w:w="65" w:type="dxa"/>
            </w:tcMar>
            <w:vAlign w:val="top"/>
          </w:tcPr>
          <w:p>
            <w:pPr>
              <w:spacing w:after="0"/>
            </w:pPr>
            <w:r>
              <w:rPr>
                <w:rFonts w:ascii="Arial" w:hAnsi="Arial" w:eastAsia="Arial"/>
                <w:b/>
                <w:i w:val="0"/>
                <w:color w:val="1F1F1F"/>
                <w:sz w:val="16"/>
              </w:rPr>
              <w:t>U-07</w:t>
            </w:r>
          </w:p>
        </w:tc>
        <w:tc>
          <w:tcPr>
            <w:tcW w:type="dxa" w:w="5670"/>
            <w:shd w:fill="FFFFFF"/>
            <w:tcMar>
              <w:top w:w="55" w:type="dxa"/>
              <w:start w:w="65" w:type="dxa"/>
              <w:bottom w:w="55" w:type="dxa"/>
              <w:end w:w="65" w:type="dxa"/>
            </w:tcMar>
            <w:vAlign w:val="top"/>
          </w:tcPr>
          <w:p>
            <w:pPr>
              <w:spacing w:after="0"/>
            </w:pPr>
            <w:r>
              <w:rPr>
                <w:rFonts w:ascii="Arial" w:hAnsi="Arial" w:eastAsia="Arial"/>
                <w:b w:val="0"/>
                <w:i w:val="0"/>
                <w:color w:val="1F1F1F"/>
                <w:sz w:val="16"/>
              </w:rPr>
              <w:t>«Кандидат вправе скрывать любую политическую позицию».</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Не подтверждено в абсолютной форме; общество имеет законный интерес к позиции, но механизм не должен быть несоразмерным.</w:t>
            </w:r>
          </w:p>
        </w:tc>
      </w:tr>
      <w:tr>
        <w:trPr>
          <w:cantSplit w:val="true"/>
        </w:trPr>
        <w:tc>
          <w:tcPr>
            <w:tcW w:type="dxa" w:w="850"/>
            <w:shd w:fill="EEF4F9"/>
            <w:tcMar>
              <w:top w:w="55" w:type="dxa"/>
              <w:start w:w="65" w:type="dxa"/>
              <w:bottom w:w="55" w:type="dxa"/>
              <w:end w:w="65" w:type="dxa"/>
            </w:tcMar>
            <w:vAlign w:val="top"/>
          </w:tcPr>
          <w:p>
            <w:pPr>
              <w:spacing w:after="0"/>
            </w:pPr>
            <w:r>
              <w:rPr>
                <w:rFonts w:ascii="Arial" w:hAnsi="Arial" w:eastAsia="Arial"/>
                <w:b/>
                <w:i w:val="0"/>
                <w:color w:val="1F1F1F"/>
                <w:sz w:val="16"/>
              </w:rPr>
              <w:t>U-08</w:t>
            </w:r>
          </w:p>
        </w:tc>
        <w:tc>
          <w:tcPr>
            <w:tcW w:type="dxa" w:w="5670"/>
            <w:shd w:fill="EEF4F9"/>
            <w:tcMar>
              <w:top w:w="55" w:type="dxa"/>
              <w:start w:w="65" w:type="dxa"/>
              <w:bottom w:w="55" w:type="dxa"/>
              <w:end w:w="65" w:type="dxa"/>
            </w:tcMar>
            <w:vAlign w:val="top"/>
          </w:tcPr>
          <w:p>
            <w:pPr>
              <w:spacing w:after="0"/>
            </w:pPr>
            <w:r>
              <w:rPr>
                <w:rFonts w:ascii="Arial" w:hAnsi="Arial" w:eastAsia="Arial"/>
                <w:b w:val="0"/>
                <w:i w:val="0"/>
                <w:color w:val="1F1F1F"/>
                <w:sz w:val="16"/>
              </w:rPr>
              <w:t>«Любая квота всегда антидемократична».</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Слишком категорично; специальные маршруты могут защищать равенство, если не меняют вес финального голоса без основания.</w:t>
            </w:r>
          </w:p>
        </w:tc>
      </w:tr>
      <w:tr>
        <w:trPr>
          <w:cantSplit w:val="true"/>
        </w:trPr>
        <w:tc>
          <w:tcPr>
            <w:tcW w:type="dxa" w:w="850"/>
            <w:shd w:fill="FFFFFF"/>
            <w:tcMar>
              <w:top w:w="55" w:type="dxa"/>
              <w:start w:w="65" w:type="dxa"/>
              <w:bottom w:w="55" w:type="dxa"/>
              <w:end w:w="65" w:type="dxa"/>
            </w:tcMar>
            <w:vAlign w:val="top"/>
          </w:tcPr>
          <w:p>
            <w:pPr>
              <w:spacing w:after="0"/>
            </w:pPr>
            <w:r>
              <w:rPr>
                <w:rFonts w:ascii="Arial" w:hAnsi="Arial" w:eastAsia="Arial"/>
                <w:b/>
                <w:i w:val="0"/>
                <w:color w:val="1F1F1F"/>
                <w:sz w:val="16"/>
              </w:rPr>
              <w:t>U-09</w:t>
            </w:r>
          </w:p>
        </w:tc>
        <w:tc>
          <w:tcPr>
            <w:tcW w:type="dxa" w:w="5670"/>
            <w:shd w:fill="FFFFFF"/>
            <w:tcMar>
              <w:top w:w="55" w:type="dxa"/>
              <w:start w:w="65" w:type="dxa"/>
              <w:bottom w:w="55" w:type="dxa"/>
              <w:end w:w="65" w:type="dxa"/>
            </w:tcMar>
            <w:vAlign w:val="top"/>
          </w:tcPr>
          <w:p>
            <w:pPr>
              <w:spacing w:after="0"/>
            </w:pPr>
            <w:r>
              <w:rPr>
                <w:rFonts w:ascii="Arial" w:hAnsi="Arial" w:eastAsia="Arial"/>
                <w:b w:val="0"/>
                <w:i w:val="0"/>
                <w:color w:val="1F1F1F"/>
                <w:sz w:val="16"/>
              </w:rPr>
              <w:t>«Высокая стоимость автоматически означает неконституционность».</w:t>
            </w:r>
          </w:p>
        </w:tc>
        <w:tc>
          <w:tcPr>
            <w:tcW w:type="dxa" w:w="8618"/>
            <w:shd w:fill="F2F2F2"/>
            <w:tcMar>
              <w:top w:w="55" w:type="dxa"/>
              <w:start w:w="65" w:type="dxa"/>
              <w:bottom w:w="55" w:type="dxa"/>
              <w:end w:w="65" w:type="dxa"/>
            </w:tcMar>
            <w:vAlign w:val="top"/>
          </w:tcPr>
          <w:p>
            <w:pPr>
              <w:spacing w:after="0"/>
            </w:pPr>
            <w:r>
              <w:rPr>
                <w:rFonts w:ascii="Arial" w:hAnsi="Arial" w:eastAsia="Arial"/>
                <w:b/>
                <w:i w:val="0"/>
                <w:color w:val="1F1F1F"/>
                <w:sz w:val="16"/>
              </w:rPr>
              <w:t>Стоимость относится к целесообразности, пропорциональности и внедрению, но не является самостоятельным запретом.</w:t>
            </w:r>
          </w:p>
        </w:tc>
      </w:tr>
    </w:tbl>
    <w:p>
      <w:pPr>
        <w:pStyle w:val="Heading2"/>
        <w:keepNext/>
        <w:widowControl/>
      </w:pPr>
      <w:r>
        <w:t>B.3. Критические противоречия повторного стресс-теста</w:t>
      </w:r>
    </w:p>
    <w:tbl>
      <w:tblPr>
        <w:tblStyle w:val="TableGrid"/>
        <w:tblW w:type="auto" w:w="0"/>
        <w:tblLook w:firstColumn="1" w:firstRow="1" w:lastColumn="0" w:lastRow="0" w:noHBand="0" w:noVBand="1" w:val="04A0"/>
      </w:tblPr>
      <w:tblGrid>
        <w:gridCol w:w="1990"/>
        <w:gridCol w:w="1990"/>
        <w:gridCol w:w="1990"/>
        <w:gridCol w:w="1990"/>
        <w:gridCol w:w="1990"/>
      </w:tblGrid>
      <w:tr>
        <w:trPr>
          <w:tblHeader w:val="true"/>
        </w:trPr>
        <w:tc>
          <w:tcPr>
            <w:tcW w:type="dxa" w:w="1990"/>
            <w:shd w:fill="D9EAF7"/>
          </w:tcPr>
          <w:p>
            <w:r>
              <w:t>ID</w:t>
            </w:r>
          </w:p>
        </w:tc>
        <w:tc>
          <w:tcPr>
            <w:tcW w:type="dxa" w:w="1990"/>
            <w:shd w:fill="D9EAF7"/>
          </w:tcPr>
          <w:p>
            <w:r>
              <w:t>Сильнейшая новая атака</w:t>
            </w:r>
          </w:p>
        </w:tc>
        <w:tc>
          <w:tcPr>
            <w:tcW w:type="dxa" w:w="1990"/>
            <w:shd w:fill="D9EAF7"/>
          </w:tcPr>
          <w:p>
            <w:r>
              <w:t>Исправление, встроенное в 2.1</w:t>
            </w:r>
          </w:p>
        </w:tc>
        <w:tc>
          <w:tcPr>
            <w:tcW w:type="dxa" w:w="1990"/>
            <w:shd w:fill="D9EAF7"/>
          </w:tcPr>
          <w:p>
            <w:r>
              <w:t>Затронутые главы</w:t>
            </w:r>
          </w:p>
        </w:tc>
        <w:tc>
          <w:tcPr>
            <w:tcW w:type="dxa" w:w="1990"/>
            <w:shd w:fill="D9EAF7"/>
          </w:tcPr>
          <w:p>
            <w:r>
              <w:t>Финальный статус</w:t>
            </w:r>
          </w:p>
        </w:tc>
      </w:tr>
      <w:tr>
        <w:tc>
          <w:tcPr>
            <w:tcW w:type="dxa" w:w="1990"/>
          </w:tcPr>
          <w:p>
            <w:r>
              <w:t>K-01</w:t>
            </w:r>
          </w:p>
        </w:tc>
        <w:tc>
          <w:tcPr>
            <w:tcW w:type="dxa" w:w="1990"/>
          </w:tcPr>
          <w:p>
            <w:r>
              <w:t>Внутреннее противоречие кандидатского режима. Редакция одновременно сохраняет ограниченный предел отказа как элемент ядра, допускает полный режим минимального принятия при конституционном основании и в главе XXXII формулирует общий запрет препятствовать регистрации кандидата из-за отказа.</w:t>
            </w:r>
          </w:p>
        </w:tc>
        <w:tc>
          <w:tcPr>
            <w:tcW w:type="dxa" w:w="1990"/>
          </w:tcPr>
          <w:p>
            <w:r>
              <w:t>Редакция 2.1 должна установить один универсальный минимум: обязательная полная декларация и ограниченный предел непринятия определяют статус присоединения кандидата к общественному мандату, но сами по себе не являются универсальным основанием отказа в регистрации. Любое дополнительное электоральное последствие допускается только в отдельной национальной конституционной модели и не может маскироваться как общая норма Доктрины.</w:t>
            </w:r>
          </w:p>
        </w:tc>
        <w:tc>
          <w:tcPr>
            <w:tcW w:type="dxa" w:w="1990"/>
          </w:tcPr>
          <w:p>
            <w:r>
              <w:t>Гл. III §4.5; V; XX; XXXII §8</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K-02</w:t>
            </w:r>
          </w:p>
        </w:tc>
        <w:tc>
          <w:tcPr>
            <w:tcW w:type="dxa" w:w="1990"/>
          </w:tcPr>
          <w:p>
            <w:r>
              <w:t>Самоописание кандидата конфликтует с подсчётом минимальной доли принятия. Кандидат вправе сам определить форму позиции, а официальный орган не вправе толковать политический смысл. При этом система должна посчитать, выполнен ли предел отказа.</w:t>
            </w:r>
          </w:p>
        </w:tc>
        <w:tc>
          <w:tcPr>
            <w:tcW w:type="dxa" w:w="1990"/>
          </w:tcPr>
          <w:p>
            <w:r>
              <w:t>Ввести формальную грамматику счёта, не оценивающую политическую ценность: ответ с любым условием, исключением, альтернативой цели, охвата, срока или адресата не может учитываться как безусловное принятие. Кандидат сохраняет самоописание, но счёт квоты основывается на объективных структурных признаках, публикуемых вместе с полным текстом и подлежащих быстрому обжалованию.</w:t>
            </w:r>
          </w:p>
        </w:tc>
        <w:tc>
          <w:tcPr>
            <w:tcW w:type="dxa" w:w="1990"/>
          </w:tcPr>
          <w:p>
            <w:r>
              <w:t>Гл. XX §§3–8, 20; XXI §§3–9</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K-03</w:t>
            </w:r>
          </w:p>
        </w:tc>
        <w:tc>
          <w:tcPr>
            <w:tcW w:type="dxa" w:w="1990"/>
          </w:tcPr>
          <w:p>
            <w:r>
              <w:t>Условное принятие и ослабленная альтернатива могут отмывать отказ. Кандидат принимает популярный пункт «при наличии ресурсов», «после достижения консенсуса» или предлагает альтернативу с меньшим охватом, но сохраняет положительную маркировку.</w:t>
            </w:r>
          </w:p>
        </w:tc>
        <w:tc>
          <w:tcPr>
            <w:tcW w:type="dxa" w:w="1990"/>
          </w:tcPr>
          <w:p>
            <w:r>
              <w:t>Закрыть перечень допустимых условий: они должны быть измеримыми, внешними для кандидата и иметь заранее названный способ установления. Альтернатива всегда учитывается отдельно и не засчитывается в минимальную долю полного принятия, кроме специально установленной ограниченной поддоли. Обязательна сравнительная таблица цели, охвата, срока, правового эффекта, стоимости и распределения последствий.</w:t>
            </w:r>
          </w:p>
        </w:tc>
        <w:tc>
          <w:tcPr>
            <w:tcW w:type="dxa" w:w="1990"/>
          </w:tcPr>
          <w:p>
            <w:r>
              <w:t>Гл. V §4; XX §§6–12; XXI</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K-04</w:t>
            </w:r>
          </w:p>
        </w:tc>
        <w:tc>
          <w:tcPr>
            <w:tcW w:type="dxa" w:w="1990"/>
          </w:tcPr>
          <w:p>
            <w:r>
              <w:t>Автоматическая активация собственных действий сохраняет квазииперативный риск. После избрания принятые позиции автоматически попадают в реестр и запускают юридически проверяемые собственные действия. Действием может быть издание указа, внесение конкретного законопроекта или использование исполнительного усмотрения.</w:t>
            </w:r>
          </w:p>
        </w:tc>
        <w:tc>
          <w:tcPr>
            <w:tcW w:type="dxa" w:w="1990"/>
          </w:tcPr>
          <w:p>
            <w:r>
              <w:t>Ввести закрытую типологию юстициабельных действий. Суд может требовать только совершить заранее определённый процессуальный акт, принять решение и раскрыть мотивировку; он не вправе предписывать содержание акта, когда Конституция оставляет политическое усмотрение. Прямо закрепить, что избрание не означает отдельного одобрения избирателями каждого принятого пункта; источник обязанности — собственная публичная декларация в предусмотренном законом режиме.</w:t>
            </w:r>
          </w:p>
        </w:tc>
        <w:tc>
          <w:tcPr>
            <w:tcW w:type="dxa" w:w="1990"/>
          </w:tcPr>
          <w:p>
            <w:r>
              <w:t>Гл. V §§5–8; XXIII; XXIV; XXIX; XXXII §10</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K-05</w:t>
            </w:r>
          </w:p>
        </w:tc>
        <w:tc>
          <w:tcPr>
            <w:tcW w:type="dxa" w:w="1990"/>
          </w:tcPr>
          <w:p>
            <w:r>
              <w:t>Несовместимый портфель сталкивается с минимальной долей принятия. Граждане могут утвердить несколько взаимоисключающих целей или бюджетно несовместимый набор, а кандидат обязан принять минимальную долю пунктов.</w:t>
            </w:r>
          </w:p>
        </w:tc>
        <w:tc>
          <w:tcPr>
            <w:tcW w:type="dxa" w:w="1990"/>
          </w:tcPr>
          <w:p>
            <w:r>
              <w:t>Сделать карту конфликтов обязательной, а не факультативной. Взаимоисключающие пункты образуют конфликтную группу и не могут одновременно учитываться в знаменателе минимального принятия. Финальное голосование должно содержать заранее объявленный способ определения приоритета: ранжирование, выбор одной альтернативы либо совместимый бюджетный пакет. Орган только применяет формулу, не выбирает политический приоритет.</w:t>
            </w:r>
          </w:p>
        </w:tc>
        <w:tc>
          <w:tcPr>
            <w:tcW w:type="dxa" w:w="1990"/>
          </w:tcPr>
          <w:p>
            <w:r>
              <w:t>Гл. XVII §§8–9; XVIII §§5, 11, 22, 26.5; XX</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K-06</w:t>
            </w:r>
          </w:p>
        </w:tc>
        <w:tc>
          <w:tcPr>
            <w:tcW w:type="dxa" w:w="1990"/>
          </w:tcPr>
          <w:p>
            <w:r>
              <w:t>Слабое участие может породить сильный официальный мандат. Редакция требует большинства и абсолютного порога, но оставляет числа национальному праву и допускает формирование поручения после сертификации хотя бы одного пункта.</w:t>
            </w:r>
          </w:p>
        </w:tc>
        <w:tc>
          <w:tcPr>
            <w:tcW w:type="dxa" w:w="1990"/>
          </w:tcPr>
          <w:p>
            <w:r>
              <w:t>Ввести обязательные статусы легитимности: «поддержанная инициатива», «утверждённый общественный приоритет», «утверждённый пункт общественного поручения». Сильный кандидатский режим запускается только для последнего статуса, требующего заранее обоснованного абсолютного порога, минимальной информированной явки и проверки устойчивых территориальных/социальных разрывов. Низкое участие не аннулирует голос, но понижает статус результата по автоматической формуле.</w:t>
            </w:r>
          </w:p>
        </w:tc>
        <w:tc>
          <w:tcPr>
            <w:tcW w:type="dxa" w:w="1990"/>
          </w:tcPr>
          <w:p>
            <w:r>
              <w:t>Гл. I §3; XII; XVIII §§6, 13, 22; XIX</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K-07</w:t>
            </w:r>
          </w:p>
        </w:tc>
        <w:tc>
          <w:tcPr>
            <w:tcW w:type="dxa" w:w="1990"/>
          </w:tcPr>
          <w:p>
            <w:r>
              <w:t>Единый процессный координатор остаётся скрытым владельцем календаря. Координатор формально не принимает содержание, но ведёт календарь, маршрутизирует документы, проверяет форматы, публикует версии и уведомления.</w:t>
            </w:r>
          </w:p>
        </w:tc>
        <w:tc>
          <w:tcPr>
            <w:tcW w:type="dxa" w:w="1990"/>
          </w:tcPr>
          <w:p>
            <w:r>
              <w:t>Разделить приём, техническую валидацию и юридическое решение. По умолчанию дефектная подача продолжает движение с публичной отметкой и сроком исправления; окончательный отказ возможен только отдельным мотивированным актом другого субъекта. Правила сроков, версий, порядка публикации и уведомлений замораживаются до цикла; все ручные исключения требуют двойного подтверждения и немедленной публикации.</w:t>
            </w:r>
          </w:p>
        </w:tc>
        <w:tc>
          <w:tcPr>
            <w:tcW w:type="dxa" w:w="1990"/>
          </w:tcPr>
          <w:p>
            <w:r>
              <w:t>Гл. VII §§2, 6; VIII §§5–8; IX</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K-08</w:t>
            </w:r>
          </w:p>
        </w:tc>
        <w:tc>
          <w:tcPr>
            <w:tcW w:type="dxa" w:w="1990"/>
          </w:tcPr>
          <w:p>
            <w:r>
              <w:t>Защищённый канал создаёт власть определять группу и политическую идентичность. Для защищённого маршрута необходимо установить затрагиваемость, малочисленность или системный барьер массовой поддержки.</w:t>
            </w:r>
          </w:p>
        </w:tc>
        <w:tc>
          <w:tcPr>
            <w:tcW w:type="dxa" w:w="1990"/>
          </w:tcPr>
          <w:p>
            <w:r>
              <w:t>Основанием должен быть объективный риск для защищённого права или доказанный структурный барьер, а не признание идентичности группы. Членство конкретных лиц не регистрируется без необходимости; доказательства рассматриваются конфиденциально; публикуются критерии воздействия и конкурирующие позиции. Решение принимает временная разнородная панель с быстрым судебным контролем, а внутри пула действует жеребьёвка.</w:t>
            </w:r>
          </w:p>
        </w:tc>
        <w:tc>
          <w:tcPr>
            <w:tcW w:type="dxa" w:w="1990"/>
          </w:tcPr>
          <w:p>
            <w:r>
              <w:t>Гл. XII; XVII §7; XXXVII §§12–14</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K-09</w:t>
            </w:r>
          </w:p>
        </w:tc>
        <w:tc>
          <w:tcPr>
            <w:tcW w:type="dxa" w:w="1990"/>
          </w:tcPr>
          <w:p>
            <w:r>
              <w:t>Случайный канал уязвим для насыщения и инженерии кластеров. Организованная сеть подаёт множество формально различных вариантов одной темы, увеличивая число лотерейных билетов.</w:t>
            </w:r>
          </w:p>
        </w:tc>
        <w:tc>
          <w:tcPr>
            <w:tcW w:type="dxa" w:w="1990"/>
          </w:tcPr>
          <w:p>
            <w:r>
              <w:t>Установить принцип «один тематико-целевой кластер — один лотерейный шанс». Внутри выбранного кластера отдельная процедура определяет формулировку/альтернативу. Связанные заказчики, финансирование и координация агрегируются; критерии сходства публикуются; машинная кластеризация только предлагает, а решение сопровождается картой признаков и обжалованием.</w:t>
            </w:r>
          </w:p>
        </w:tc>
        <w:tc>
          <w:tcPr>
            <w:tcW w:type="dxa" w:w="1990"/>
          </w:tcPr>
          <w:p>
            <w:r>
              <w:t>Гл. XII §11; XIII; XVII §§6, 8</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K-10</w:t>
            </w:r>
          </w:p>
        </w:tc>
        <w:tc>
          <w:tcPr>
            <w:tcW w:type="dxa" w:w="1990"/>
          </w:tcPr>
          <w:p>
            <w:r>
              <w:t>При одновременном захвате отсутствует режим безопасного отказа всей системы. Редакция признаёт, что абсолютная защита при захвате парламента, суда, назначений, бюджета, оператора и поставщиков невозможна, но не всегда связывает утрату независимости с автоматической невозможностью сертификации.</w:t>
            </w:r>
          </w:p>
        </w:tc>
        <w:tc>
          <w:tcPr>
            <w:tcW w:type="dxa" w:w="1990"/>
          </w:tcPr>
          <w:p>
            <w:r>
              <w:t>Ввести «кворум институциональной независимости» и режим безопасного коллапса. Для каждой критической стадии заранее определяются несовместимые держатели, минимальная внешняя проверка и признаки утраты независимости. Если порог не выполнен, результат не сертифицируется как общественный мандат и может публиковаться только как оспариваемый неофициальный массив данных.</w:t>
            </w:r>
          </w:p>
        </w:tc>
        <w:tc>
          <w:tcPr>
            <w:tcW w:type="dxa" w:w="1990"/>
          </w:tcPr>
          <w:p>
            <w:r>
              <w:t>Гл. IX §13; XXXI; XXXVI–XXXVII</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K-11</w:t>
            </w:r>
          </w:p>
        </w:tc>
        <w:tc>
          <w:tcPr>
            <w:tcW w:type="dxa" w:w="1990"/>
          </w:tcPr>
          <w:p>
            <w:r>
              <w:t>Процедурная ответственность может сложиться в фактическую политическую санкцию. Хотя специальные санкции за политический результат исключены, лицо может получить серию судебных актов, штрафов, официальных отметок неисполнения и негативных отчётов за связанные процедурные нарушения.</w:t>
            </w:r>
          </w:p>
        </w:tc>
        <w:tc>
          <w:tcPr>
            <w:tcW w:type="dxa" w:w="1990"/>
          </w:tcPr>
          <w:p>
            <w:r>
              <w:t>Установить исчерпывающий каталог последствий: исправление, публикация, повторение процедуры, компенсация доказанного вреда и санкции за умышленную фальсификацию/сокрытие. Запретить автоматическое перенесение процедурного статуса в избирательные, кадровые или уголовные последствия без самостоятельного состава общего права. Официальный отчёт не использует единый ярлык добросовестности.</w:t>
            </w:r>
          </w:p>
        </w:tc>
        <w:tc>
          <w:tcPr>
            <w:tcW w:type="dxa" w:w="1990"/>
          </w:tcPr>
          <w:p>
            <w:r>
              <w:t>Гл. XXIII–XXIX; XXXII §12</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K-12</w:t>
            </w:r>
          </w:p>
        </w:tc>
        <w:tc>
          <w:tcPr>
            <w:tcW w:type="dxa" w:w="1990"/>
          </w:tcPr>
          <w:p>
            <w:r>
              <w:t>Чрезвычайные исключения можно цепочкой продлевать под разными названиями. Каждая глава содержит собственные пределы чрезвычайности, но один и тот же фактический режим может последовательно оформляться как киберинцидент, угроза безопасности, недоступность территории, защита данных и административная невозможность.</w:t>
            </w:r>
          </w:p>
        </w:tc>
        <w:tc>
          <w:tcPr>
            <w:tcW w:type="dxa" w:w="1990"/>
          </w:tcPr>
          <w:p>
            <w:r>
              <w:t>Создать единый публичный чрезвычайный реестр Доктрины, общий кумулятивный срок для одного фактического события, обязательную проверку эквивалентности оснований и независимое подтверждение любого продления. Изменение правил кандидатов, порогов и объёма связывающих данных во время режима запрещается абсолютно.</w:t>
            </w:r>
          </w:p>
        </w:tc>
        <w:tc>
          <w:tcPr>
            <w:tcW w:type="dxa" w:w="1990"/>
          </w:tcPr>
          <w:p>
            <w:r>
              <w:t>Гл. III, V, VII, XVII–XVIII, XXVII, XXXV–XXXVII</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r>
        <w:tc>
          <w:tcPr>
            <w:tcW w:type="dxa" w:w="1990"/>
          </w:tcPr>
          <w:p>
            <w:r>
              <w:t>K-13</w:t>
            </w:r>
          </w:p>
        </w:tc>
        <w:tc>
          <w:tcPr>
            <w:tcW w:type="dxa" w:w="1990"/>
          </w:tcPr>
          <w:p>
            <w:r>
              <w:t>Пилот не проверяет самый сильный и спорный механизм модели. Первые пилоты имеют консультативный материальный эффект и не должны ограничивать права кандидатов. Однако полная модель опирается на ограниченный предел отказа, официальный кандидатский цикл и автоматическое возникновение собственных обязанностей победителя.</w:t>
            </w:r>
          </w:p>
        </w:tc>
        <w:tc>
          <w:tcPr>
            <w:tcW w:type="dxa" w:w="1990"/>
          </w:tcPr>
          <w:p>
            <w:r>
              <w:t>Разделить ворота доказательств: (1) симуляция и добровольный кандидатский тест; (2) официальный информационный цикл без ограничений регистрации; (3) ограниченный живой цикл собственных процедурных обязанностей; (4) только затем рассмотрение усиленного национального режима. Ни один этап не подтверждает следующий механизм, который он не проверял.</w:t>
            </w:r>
          </w:p>
        </w:tc>
        <w:tc>
          <w:tcPr>
            <w:tcW w:type="dxa" w:w="1990"/>
          </w:tcPr>
          <w:p>
            <w:r>
              <w:t>Гл. XXXI; XVIII §25; XX; XXIII</w:t>
            </w:r>
          </w:p>
        </w:tc>
        <w:tc>
          <w:tcPr>
            <w:tcW w:type="dxa" w:w="1990"/>
          </w:tcPr>
          <w:p>
            <w:r>
              <w:t>Устранено на уровне универсального текста; соответствующий регрессионный сценарий пройден. Национальная и эмпирическая проверка сохраняется.</w:t>
            </w:r>
          </w:p>
        </w:tc>
      </w:tr>
    </w:tbl>
    <w:p>
      <w:pPr>
        <w:pStyle w:val="Heading2"/>
        <w:keepNext/>
        <w:widowControl/>
      </w:pPr>
      <w:r>
        <w:t>B.4. Существенные уязвимости и остаточные ограничители</w:t>
      </w:r>
    </w:p>
    <w:p>
      <w:pPr>
        <w:widowControl/>
      </w:pPr>
      <w:r>
        <w:rPr>
          <w:b w:val="0"/>
          <w:i w:val="0"/>
        </w:rPr>
        <w:t>Все S-01–S-20 получили обязательные ограничители в редакции 2.1. Их статус — «существенно ограничено», а не «устранено», поскольку окончательная величина риска зависит от национального закона, ресурсов, пилота и качества независимого исполнения.</w:t>
      </w:r>
    </w:p>
    <w:tbl>
      <w:tblPr>
        <w:tblW w:type="auto" w:w="0"/>
        <w:jc w:val="center"/>
        <w:tblLayout w:type="fixed"/>
        <w:tblLook w:firstColumn="1" w:firstRow="1" w:lastColumn="0" w:lastRow="0" w:noHBand="0" w:noVBand="1" w:val="04A0"/>
      </w:tblPr>
      <w:tblGrid>
        <w:gridCol w:w="2992"/>
        <w:gridCol w:w="2992"/>
        <w:gridCol w:w="2992"/>
        <w:gridCol w:w="2992"/>
        <w:gridCol w:w="2992"/>
      </w:tblGrid>
      <w:tr>
        <w:trPr>
          <w:tblHeader w:val="true"/>
        </w:trPr>
        <w:tc>
          <w:tcPr>
            <w:tcW w:type="dxa" w:w="792"/>
            <w:shd w:fill="17365D"/>
            <w:vAlign w:val="center"/>
            <w:tcMar>
              <w:top w:w="70" w:type="dxa"/>
              <w:start w:w="80" w:type="dxa"/>
              <w:bottom w:w="70" w:type="dxa"/>
              <w:end w:w="80" w:type="dxa"/>
            </w:tcMar>
          </w:tcPr>
          <w:p>
            <w:pPr>
              <w:spacing w:after="0" w:line="240" w:lineRule="auto"/>
            </w:pPr>
            <w:r/>
            <w:r>
              <w:rPr>
                <w:rFonts w:ascii="Arial" w:hAnsi="Arial"/>
                <w:b/>
                <w:color w:val="FFFFFF"/>
                <w:sz w:val="16"/>
              </w:rPr>
              <w:t>ID</w:t>
            </w:r>
          </w:p>
        </w:tc>
        <w:tc>
          <w:tcPr>
            <w:tcW w:type="dxa" w:w="3312"/>
            <w:shd w:fill="17365D"/>
            <w:vAlign w:val="center"/>
            <w:tcMar>
              <w:top w:w="70" w:type="dxa"/>
              <w:start w:w="80" w:type="dxa"/>
              <w:bottom w:w="70" w:type="dxa"/>
              <w:end w:w="80" w:type="dxa"/>
            </w:tcMar>
          </w:tcPr>
          <w:p>
            <w:pPr>
              <w:spacing w:after="0" w:line="240" w:lineRule="auto"/>
            </w:pPr>
            <w:r/>
            <w:r>
              <w:rPr>
                <w:rFonts w:ascii="Arial" w:hAnsi="Arial"/>
                <w:b/>
                <w:color w:val="FFFFFF"/>
                <w:sz w:val="16"/>
              </w:rPr>
              <w:t>Уязвимость</w:t>
            </w:r>
          </w:p>
        </w:tc>
        <w:tc>
          <w:tcPr>
            <w:tcW w:type="dxa" w:w="1440"/>
            <w:shd w:fill="17365D"/>
            <w:vAlign w:val="center"/>
            <w:tcMar>
              <w:top w:w="70" w:type="dxa"/>
              <w:start w:w="80" w:type="dxa"/>
              <w:bottom w:w="70" w:type="dxa"/>
              <w:end w:w="80" w:type="dxa"/>
            </w:tcMar>
          </w:tcPr>
          <w:p>
            <w:pPr>
              <w:spacing w:after="0" w:line="240" w:lineRule="auto"/>
            </w:pPr>
            <w:r/>
            <w:r>
              <w:rPr>
                <w:rFonts w:ascii="Arial" w:hAnsi="Arial"/>
                <w:b/>
                <w:color w:val="FFFFFF"/>
                <w:sz w:val="16"/>
              </w:rPr>
              <w:t>Главы</w:t>
            </w:r>
          </w:p>
        </w:tc>
        <w:tc>
          <w:tcPr>
            <w:tcW w:type="dxa" w:w="4536"/>
            <w:shd w:fill="17365D"/>
            <w:vAlign w:val="center"/>
            <w:tcMar>
              <w:top w:w="70" w:type="dxa"/>
              <w:start w:w="80" w:type="dxa"/>
              <w:bottom w:w="70" w:type="dxa"/>
              <w:end w:w="80" w:type="dxa"/>
            </w:tcMar>
          </w:tcPr>
          <w:p>
            <w:pPr>
              <w:spacing w:after="0" w:line="240" w:lineRule="auto"/>
            </w:pPr>
            <w:r/>
            <w:r>
              <w:rPr>
                <w:rFonts w:ascii="Arial" w:hAnsi="Arial"/>
                <w:b/>
                <w:color w:val="FFFFFF"/>
                <w:sz w:val="16"/>
              </w:rPr>
              <w:t>Механизм риска</w:t>
            </w:r>
          </w:p>
        </w:tc>
        <w:tc>
          <w:tcPr>
            <w:tcW w:type="dxa" w:w="4536"/>
            <w:shd w:fill="17365D"/>
            <w:vAlign w:val="center"/>
            <w:tcMar>
              <w:top w:w="70" w:type="dxa"/>
              <w:start w:w="80" w:type="dxa"/>
              <w:bottom w:w="70" w:type="dxa"/>
              <w:end w:w="80" w:type="dxa"/>
            </w:tcMar>
          </w:tcPr>
          <w:p>
            <w:pPr>
              <w:spacing w:after="0" w:line="240" w:lineRule="auto"/>
            </w:pPr>
            <w:r/>
            <w:r>
              <w:rPr>
                <w:rFonts w:ascii="Arial" w:hAnsi="Arial"/>
                <w:b/>
                <w:color w:val="FFFFFF"/>
                <w:sz w:val="16"/>
              </w:rPr>
              <w:t>Обязательный ограничитель</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S-01</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Официальная повестка может вытеснять темы вне поручения.</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XVIII, XXII, XXXV</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Официальный перечень получает бесплатную государственную видимость и может сузить кампанию.</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Прямо закрепить неэксклюзивность; кандидаты получают равный официальный раздел для дополнительных приоритетов; расходы государства на продвижение поручения ограничиваются информированием о процедуре.</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S-02</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Сложность деклараций создаёт преимущество крупных партий.</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XX–XXII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Малым кандидатам нужны юристы, экономисты и специалисты по данным для каждого пункта.</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Бесплатный нейтральный справочный сервис, минимальная короткая форма, одинаковые данные, запрет обязательной платной экспертизы и достаточный срок.</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S-03</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Ускоренное единое окно может сделать обжалование формальным.</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XVII–XVIII, XXXI</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Короткий календарь и консолидация лишают малые группы возможности собрать доказательства.</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Минимальные пресекательные сроки, доступ к материалам, возможность индивидуального особого требования и приостанавливающая мера при необратимом вреде.</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S-04</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Секретные материалы безопасности могут стать непроверяемым основанием.</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XV, XXXV–XXXVII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Публичная мотивировка заменяется ссылкой на закрытый риск; суд зависит от материалов самой службы.</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Специальный независимый защитник/допущенный эксперт, публичный минимум существа довода, периодический пересмотр грифа и запрет решения только на недоступном стороне материале.</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S-05</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Национальный, региональный и муниципальный циклы могут формировать несовместимые цели.</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VI, XXXII</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Формальная карта компетенции не разрешает реальные совместные полномочия и конкурирующие сроки.</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Предварительная коллизионная матрица, приоритет компетентного уровня, соглашение о совместном пункте и право каждого уровня публиковать самостоятельную позицию.</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S-06</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Национальные параметры могут стать главным инструментом захвата.</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XII, XVII–XVIII, XXXIII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Пороги, доли каналов, число вопросов, сроки и бюджет оставлены национальному закону.</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Обязательный протокол выбора параметров: моделирование альтернатив, публичные данные, независимая оценка, стабильность не менее одного полного цикла и запрет изменения вблизи выборов.</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S-07</w:t>
            </w:r>
          </w:p>
        </w:tc>
        <w:tc>
          <w:tcPr>
            <w:tcW w:type="dxa" w:w="2992"/>
            <w:shd w:fill="FFFFFF"/>
            <w:vAlign w:val="center"/>
            <w:tcMar>
              <w:top w:w="70" w:type="dxa"/>
              <w:start w:w="80" w:type="dxa"/>
              <w:bottom w:w="70" w:type="dxa"/>
              <w:end w:w="80" w:type="dxa"/>
            </w:tcMar>
          </w:tcPr>
          <w:p>
            <w:pPr>
              <w:spacing w:after="0" w:line="240" w:lineRule="auto"/>
            </w:pPr>
            <w:r>
              <w:t>Оценщик пилота может захватить сравнительный исходный сценарий и критерии успеха.</w:t>
            </w:r>
            <w:r>
              <w:rPr>
                <w:rFonts w:ascii="Arial" w:hAnsi="Arial"/>
                <w:b w:val="0"/>
                <w:sz w:val="14"/>
              </w:rPr>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I, XXXI</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Предварительная регистрация не нейтрализует выбор сравниваемой альтернативы и состав оценщика.</w:t>
            </w:r>
          </w:p>
        </w:tc>
        <w:tc>
          <w:tcPr>
            <w:tcW w:type="dxa" w:w="2992"/>
            <w:shd w:fill="FFFFFF"/>
            <w:vAlign w:val="center"/>
            <w:tcMar>
              <w:top w:w="70" w:type="dxa"/>
              <w:start w:w="80" w:type="dxa"/>
              <w:bottom w:w="70" w:type="dxa"/>
              <w:end w:w="80" w:type="dxa"/>
            </w:tcMar>
          </w:tcPr>
          <w:p>
            <w:pPr>
              <w:spacing w:after="0" w:line="240" w:lineRule="auto"/>
            </w:pPr>
            <w:r>
              <w:t>Случайный/конкурсный выбор независимого консорциума, несколько сравнительных исходных сценариев, открытый анализ чувствительности и право внешней репликации.</w:t>
            </w:r>
            <w:r>
              <w:rPr>
                <w:rFonts w:ascii="Arial" w:hAnsi="Arial"/>
                <w:b w:val="0"/>
                <w:sz w:val="14"/>
              </w:rPr>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S-08</w:t>
            </w:r>
          </w:p>
        </w:tc>
        <w:tc>
          <w:tcPr>
            <w:tcW w:type="dxa" w:w="2992"/>
            <w:shd w:fill="F2F2F2"/>
            <w:vAlign w:val="center"/>
            <w:tcMar>
              <w:top w:w="70" w:type="dxa"/>
              <w:start w:w="80" w:type="dxa"/>
              <w:bottom w:w="70" w:type="dxa"/>
              <w:end w:w="80" w:type="dxa"/>
            </w:tcMar>
          </w:tcPr>
          <w:p>
            <w:pPr>
              <w:spacing w:after="0" w:line="240" w:lineRule="auto"/>
            </w:pPr>
            <w:r>
              <w:t>Автоматическое прекращение по истечении срока обходится переименованием или повторным экспериментом.</w:t>
            </w:r>
            <w:r>
              <w:rPr>
                <w:rFonts w:ascii="Arial" w:hAnsi="Arial"/>
                <w:b w:val="0"/>
                <w:sz w:val="14"/>
              </w:rPr>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VIII, XXXI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Истёкший орган создаётся заново под другим названием с близкими функциями.</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Функциональное, а не номинальное определение продолжения; кумулятивный срок; новый орган с теми же функциями считается продлением.</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S-09</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Разделённые органы могут зависеть от одной инфраструктуры и закупки.</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IX, XXXIII, XXXVI</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Один облачный поставщик, идентификационный сервис или интегратор видит все контуры.</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Карта инфраструктурной независимости, запрет общего администратора критических контуров, несколько поставщиков, воспроизводимые сборки и выход без потери данных.</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S-10</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Долговременный архив увеличивает риск будущей повторной идентификации.</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XXX, XXXVII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Технологии и внешние реестры через годы позволяют связать ранее безопасные агрегаты.</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Периодическая переоценка риска, миграция в более защищённые агрегаты, уничтожение ненужных микроданных и запрет сохранять «на всякий случай».</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S-11</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Защита приватности может скрыть реальную дискриминацию малых групп.</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XI, XVIII, XXXVII</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Дифференциальная приватность и запрет малых ячеек уменьшают видимость системного исключения.</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Двухконтурная оценка: публичные безопасные агрегаты и закрытый независимый аудит равенства с запретом экспорта данных.</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S-12</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Антифрод и ИИ могут селективно блокировать законное участие.</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XII, XXXVI–XXXVII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Ложные срабатывания чаще затрагивают необычные языки, устройства и формы мобилизации.</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Никакого окончательного отказа только по модели; человек, объяснение, право исправления, аудит ошибок по группам и запрет обучать политический профиль.</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S-13</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Переводы и доступные версии могут изменить правовой смысл.</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XI, XIII, XVIII</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Граждане разных языков голосуют по функционально различным вопросам.</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Юридически определённый исходный текст, сертифицированные эквивалентные переводы, обратный перевод, особые мнения лингвистов и повтор голосования при существенном расхождении.</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S-14</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Раскрытие финансирования может охладить законную малую поддержку.</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XXXIV, XXXVII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Антидробительные правила агрегируют независимых малых доноров и создают политический след.</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Раскрывать профессиональную организацию и конечного бенефициара выше порога; рядовых доноров хранить раздельно; презумпция независимости с правом опровержения.</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S-15</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Бюджетный потолок самой системы может стать способом её удушения.</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XXXIII</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Низкий потолок сокращает доступность и безопасность, формально соблюдая экономичность.</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Выделить неприкосновенный минимум критических функций, но не автоматический процент бюджета; сокращение требует публичного анализа рисков и приостановки функций, которые нельзя безопасно финансировать.</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S-16</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Официальное исправление «неверного статуса мандата» может стать контролем интерпретации.</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XVIII §24, XIX, XXXV</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Орган исправляет не только юридический статус, но и политическую риторику оппонента.</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Исправление ограничить проверяемыми сведениями: текст, результат, правовой статус и источник. Политические выводы и метафоры не маркируются официально.</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S-17</w:t>
            </w:r>
          </w:p>
        </w:tc>
        <w:tc>
          <w:tcPr>
            <w:tcW w:type="dxa" w:w="2992"/>
            <w:shd w:fill="FFFFFF"/>
            <w:vAlign w:val="center"/>
            <w:tcMar>
              <w:top w:w="70" w:type="dxa"/>
              <w:start w:w="80" w:type="dxa"/>
              <w:bottom w:w="70" w:type="dxa"/>
              <w:end w:w="80" w:type="dxa"/>
            </w:tcMar>
          </w:tcPr>
          <w:p>
            <w:pPr>
              <w:spacing w:after="0" w:line="240" w:lineRule="auto"/>
            </w:pPr>
            <w:r>
              <w:t>Смена власти и коалиция размывают персональный реестр подотчётной реализации.</w:t>
            </w:r>
            <w:r>
              <w:rPr>
                <w:rFonts w:ascii="Arial" w:hAnsi="Arial"/>
                <w:b w:val="0"/>
                <w:sz w:val="14"/>
              </w:rPr>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XXIII–XXX</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Победитель не формирует правительство единолично; принятые пункты меняются в коалиции или при досрочной смене.</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Отдельный режим коалиционного соглашения, распределение собственных действий и прекращение персональной обязанности после утраты полномочия с сохранением отчёта.</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S-18</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Отсутствие данных может быть создано самим исполнителем.</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XXIV–XXVIII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Ведомство не собирает показатель и затем объявляет оценку невозможной.</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Обязанность заранее обеспечить минимальный набор данных; отсутствие данных — отдельный факт исполнения; независимые альтернативные источники; запрет получать выгоду из собственного бездействия.</w:t>
            </w:r>
          </w:p>
        </w:tc>
      </w:tr>
      <w:tr>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S-19</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Публикация оценки рядом с выборами создаёт неофициальный агитационный акт.</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Гл. XXVI–XXIX</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Даже нейтральный отчёт влияет на кампанию через момент выпуска.</w:t>
            </w:r>
          </w:p>
        </w:tc>
        <w:tc>
          <w:tcPr>
            <w:tcW w:type="dxa" w:w="2992"/>
            <w:shd w:fill="FFFFFF"/>
            <w:vAlign w:val="center"/>
            <w:tcMar>
              <w:top w:w="70" w:type="dxa"/>
              <w:start w:w="80" w:type="dxa"/>
              <w:bottom w:w="70" w:type="dxa"/>
              <w:end w:w="80" w:type="dxa"/>
            </w:tcMar>
          </w:tcPr>
          <w:p>
            <w:pPr>
              <w:spacing w:after="0" w:line="240" w:lineRule="auto"/>
            </w:pPr>
            <w:r/>
            <w:r>
              <w:rPr>
                <w:rFonts w:ascii="Arial" w:hAnsi="Arial"/>
                <w:b w:val="0"/>
                <w:sz w:val="14"/>
              </w:rPr>
              <w:t>Стабильное окно публикации, запрет произвольного переноса, одновременное право ответа и отсутствие официального итогового рейтинга.</w:t>
            </w:r>
          </w:p>
        </w:tc>
      </w:tr>
      <w:tr>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S-20</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Коллективный бойкот кандидатов может обнулить механизм без нарушения закона.</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Гл. XX–XXII</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Все основные кандидаты не представляют декларации или превышают предел отказа.</w:t>
            </w:r>
          </w:p>
        </w:tc>
        <w:tc>
          <w:tcPr>
            <w:tcW w:type="dxa" w:w="2992"/>
            <w:shd w:fill="F2F2F2"/>
            <w:vAlign w:val="center"/>
            <w:tcMar>
              <w:top w:w="70" w:type="dxa"/>
              <w:start w:w="80" w:type="dxa"/>
              <w:bottom w:w="70" w:type="dxa"/>
              <w:end w:w="80" w:type="dxa"/>
            </w:tcMar>
          </w:tcPr>
          <w:p>
            <w:pPr>
              <w:spacing w:after="0" w:line="240" w:lineRule="auto"/>
            </w:pPr>
            <w:r/>
            <w:r>
              <w:rPr>
                <w:rFonts w:ascii="Arial" w:hAnsi="Arial"/>
                <w:b w:val="0"/>
                <w:sz w:val="14"/>
              </w:rPr>
              <w:t>Система должна сохранять выборы и честно публиковать общий бойкот; не заменять кандидатов и не выдумывать позиции. Политическая цена — через избирателя; национальная модель может предусмотреть отдельный конституционный режим только заранее.</w:t>
            </w:r>
          </w:p>
        </w:tc>
      </w:tr>
    </w:tbl>
    <w:p>
      <w:pPr>
        <w:pStyle w:val="Heading2"/>
        <w:keepNext/>
        <w:widowControl/>
      </w:pPr>
      <w:r>
        <w:t>B.5. Неустранимые остаточные риски</w:t>
      </w:r>
    </w:p>
    <w:p>
      <w:pPr>
        <w:widowControl/>
      </w:pPr>
      <w:r>
        <w:rPr>
          <w:b w:val="0"/>
          <w:i w:val="0"/>
        </w:rPr>
        <w:t>Эти риски не скрываются и не объявляются устранёнными. Для каждого определены максимальные ограничители и основание остановки или понижения статуса результата.</w:t>
      </w:r>
    </w:p>
    <w:p>
      <w:pPr>
        <w:widowControl/>
      </w:pPr>
      <w:r>
        <w:br w:type="page"/>
      </w:r>
    </w:p>
    <w:tbl>
      <w:tblPr>
        <w:tblW w:type="auto" w:w="0"/>
        <w:jc w:val="center"/>
        <w:tblLayout w:type="fixed"/>
        <w:tblLook w:firstColumn="1" w:firstRow="1" w:lastColumn="0" w:lastRow="0" w:noHBand="0" w:noVBand="1" w:val="04A0"/>
      </w:tblPr>
      <w:tblGrid>
        <w:gridCol w:w="3740"/>
        <w:gridCol w:w="3740"/>
        <w:gridCol w:w="3740"/>
        <w:gridCol w:w="3740"/>
      </w:tblGrid>
      <w:tr>
        <w:trPr>
          <w:tblHeader w:val="true"/>
        </w:trPr>
        <w:tc>
          <w:tcPr>
            <w:tcW w:type="dxa" w:w="864"/>
            <w:shd w:fill="17365D"/>
            <w:vAlign w:val="center"/>
            <w:tcMar>
              <w:top w:w="70" w:type="dxa"/>
              <w:start w:w="80" w:type="dxa"/>
              <w:bottom w:w="70" w:type="dxa"/>
              <w:end w:w="80" w:type="dxa"/>
            </w:tcMar>
          </w:tcPr>
          <w:p>
            <w:pPr>
              <w:spacing w:after="0" w:line="240" w:lineRule="auto"/>
            </w:pPr>
            <w:r/>
            <w:r>
              <w:rPr>
                <w:rFonts w:ascii="Arial" w:hAnsi="Arial"/>
                <w:b/>
                <w:color w:val="FFFFFF"/>
                <w:sz w:val="16"/>
              </w:rPr>
              <w:t>ID</w:t>
            </w:r>
          </w:p>
        </w:tc>
        <w:tc>
          <w:tcPr>
            <w:tcW w:type="dxa" w:w="3744"/>
            <w:shd w:fill="17365D"/>
            <w:vAlign w:val="center"/>
            <w:tcMar>
              <w:top w:w="70" w:type="dxa"/>
              <w:start w:w="80" w:type="dxa"/>
              <w:bottom w:w="70" w:type="dxa"/>
              <w:end w:w="80" w:type="dxa"/>
            </w:tcMar>
          </w:tcPr>
          <w:p>
            <w:pPr>
              <w:spacing w:after="0" w:line="240" w:lineRule="auto"/>
            </w:pPr>
            <w:r/>
            <w:r>
              <w:rPr>
                <w:rFonts w:ascii="Arial" w:hAnsi="Arial"/>
                <w:b/>
                <w:color w:val="FFFFFF"/>
                <w:sz w:val="16"/>
              </w:rPr>
              <w:t>Риск</w:t>
            </w:r>
          </w:p>
        </w:tc>
        <w:tc>
          <w:tcPr>
            <w:tcW w:type="dxa" w:w="4680"/>
            <w:shd w:fill="17365D"/>
            <w:vAlign w:val="center"/>
            <w:tcMar>
              <w:top w:w="70" w:type="dxa"/>
              <w:start w:w="80" w:type="dxa"/>
              <w:bottom w:w="70" w:type="dxa"/>
              <w:end w:w="80" w:type="dxa"/>
            </w:tcMar>
          </w:tcPr>
          <w:p>
            <w:pPr>
              <w:spacing w:after="0" w:line="240" w:lineRule="auto"/>
            </w:pPr>
            <w:r/>
            <w:r>
              <w:rPr>
                <w:rFonts w:ascii="Arial" w:hAnsi="Arial"/>
                <w:b/>
                <w:color w:val="FFFFFF"/>
                <w:sz w:val="16"/>
              </w:rPr>
              <w:t>Почему не обнуляется</w:t>
            </w:r>
          </w:p>
        </w:tc>
        <w:tc>
          <w:tcPr>
            <w:tcW w:type="dxa" w:w="5400"/>
            <w:shd w:fill="17365D"/>
            <w:vAlign w:val="center"/>
            <w:tcMar>
              <w:top w:w="70" w:type="dxa"/>
              <w:start w:w="80" w:type="dxa"/>
              <w:bottom w:w="70" w:type="dxa"/>
              <w:end w:w="80" w:type="dxa"/>
            </w:tcMar>
          </w:tcPr>
          <w:p>
            <w:pPr>
              <w:spacing w:after="0" w:line="240" w:lineRule="auto"/>
            </w:pPr>
            <w:r/>
            <w:r>
              <w:rPr>
                <w:rFonts w:ascii="Arial" w:hAnsi="Arial"/>
                <w:b/>
                <w:color w:val="FFFFFF"/>
                <w:sz w:val="16"/>
              </w:rPr>
              <w:t>Максимальные ограничители</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R-01</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Неравенство времени, образования, дохода и мотивации участия.</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Нельзя устранить без принуждения или неравного веса голоса.</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Офлайн-доступ, компенсация участникам панелей, измерение разрывов, понижение статуса нерепрезентативного результата.</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R-02</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Популистская мобилизация и эмоциональное преимущество простых решений.</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Информирование не превращает политический выбор в научно однозначный.</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Ограничение числа вопросов, симметричные материалы, период обсуждения, раскрытие цены и правовых последствий.</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R-03</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Изменение обстоятельств после выборов.</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Жёсткая неизменность опасна, свободный пересмотр ослабляет обязательность.</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Право изменить курс, обязательная мотивировка, журнал версий, сравнение альтернатив и политическая оценка.</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R-04</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Домашнее, работодателевое или покупное давление при удалённом участии.</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Криптография не контролирует среду гражданина.</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Очный канал, запрет удалённого режима как единственного, отдельная сертификация и безопасный отказ.</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R-05</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Корреляция метаданных.</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Время, сеть, устройство и внешние базы не могут быть гарантированно обезврежены навсегда.</w:t>
            </w:r>
          </w:p>
        </w:tc>
        <w:tc>
          <w:tcPr>
            <w:tcW w:type="dxa" w:w="3740"/>
            <w:shd w:fill="FFFFFF"/>
            <w:vAlign w:val="center"/>
            <w:tcMar>
              <w:top w:w="70" w:type="dxa"/>
              <w:start w:w="80" w:type="dxa"/>
              <w:bottom w:w="70" w:type="dxa"/>
              <w:end w:w="80" w:type="dxa"/>
            </w:tcMar>
          </w:tcPr>
          <w:p>
            <w:pPr>
              <w:spacing w:after="0" w:line="240" w:lineRule="auto"/>
            </w:pPr>
            <w:r>
              <w:t>Минимизация, перемешивание, отсутствие общих журналов, испытания на повторную идентификацию, уничтожение и компенсация.</w:t>
            </w:r>
            <w:r>
              <w:rPr>
                <w:rFonts w:ascii="Arial" w:hAnsi="Arial"/>
                <w:b w:val="0"/>
                <w:sz w:val="15"/>
              </w:rPr>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R-06</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Одновременный захват всех конституционных институтов.</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Ни один процедурный документ не заменяет утраченный конституционный порядок.</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Не создавать удобный инструмент захвата; безопасно прекращать официальный статус при утрате независимости.</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R-07</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Конфликт прозрачности и государственной тайны.</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Полная открытость может причинять реальный вред; закрытость ослабляет контроль.</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Минимальная секретность, независимый допущенный аудит, публичный gist, сроки рассекречивания.</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R-08</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Отсутствие универсально доказанных числовых параметров и стоимости.</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Разные страны, масштабы и цифровая зрелость требуют разных значений.</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Параметрический протокол, пилоты, независимая оценка и запрет объявлять модель доказанной до данных.</w:t>
            </w:r>
          </w:p>
        </w:tc>
      </w:tr>
    </w:tbl>
    <w:p>
      <w:pPr>
        <w:pStyle w:val="Heading1"/>
        <w:keepNext/>
        <w:pageBreakBefore/>
        <w:widowControl/>
      </w:pPr>
      <w:r>
        <w:t>Приложение C. Реестр системных изменений редакции 2.1</w:t>
      </w:r>
    </w:p>
    <w:p>
      <w:pPr>
        <w:widowControl/>
      </w:pPr>
      <w:r>
        <w:rPr>
          <w:b w:val="0"/>
          <w:i w:val="0"/>
        </w:rPr>
        <w:t>Реестр состоит из двух последовательных контуров: структурной переработки редакции 1.1 в консолидированную модель и обязательного корректирующего протокола, возникшего после повторной атаки на редакцию 2.0. Изменения не являются косметическими: они перераспределяют полномочия, закрывают скрытые центры вето, вводят реальные средства обжалования и ограничивают последствия нарушения.</w:t>
      </w:r>
    </w:p>
    <w:p>
      <w:pPr>
        <w:pStyle w:val="Heading2"/>
        <w:keepNext/>
        <w:widowControl/>
      </w:pPr>
      <w:r>
        <w:t>C.1. Базовые системные изменения</w:t>
      </w: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2589"/>
        <w:gridCol w:w="2589"/>
        <w:gridCol w:w="2589"/>
        <w:gridCol w:w="2589"/>
        <w:gridCol w:w="2589"/>
        <w:gridCol w:w="2589"/>
      </w:tblGrid>
      <w:tr>
        <w:trPr>
          <w:tblHeader w:val="true"/>
        </w:trPr>
        <w:tc>
          <w:tcPr>
            <w:tcW w:type="dxa" w:w="510"/>
            <w:shd w:fill="17365D"/>
            <w:tcMar>
              <w:top w:w="75" w:type="dxa"/>
              <w:start w:w="80" w:type="dxa"/>
              <w:bottom w:w="75" w:type="dxa"/>
              <w:end w:w="80" w:type="dxa"/>
            </w:tcMar>
            <w:vAlign w:val="center"/>
          </w:tcPr>
          <w:p>
            <w:pPr>
              <w:jc w:val="center"/>
            </w:pPr>
            <w:r>
              <w:rPr>
                <w:rFonts w:ascii="Arial" w:hAnsi="Arial" w:eastAsia="Arial"/>
                <w:b/>
                <w:i w:val="0"/>
                <w:color w:val="FFFFFF"/>
                <w:sz w:val="14"/>
              </w:rPr>
              <w:t>№</w:t>
            </w:r>
          </w:p>
        </w:tc>
        <w:tc>
          <w:tcPr>
            <w:tcW w:type="dxa" w:w="2268"/>
            <w:shd w:fill="17365D"/>
            <w:tcMar>
              <w:top w:w="75" w:type="dxa"/>
              <w:start w:w="80" w:type="dxa"/>
              <w:bottom w:w="75" w:type="dxa"/>
              <w:end w:w="80" w:type="dxa"/>
            </w:tcMar>
            <w:vAlign w:val="center"/>
          </w:tcPr>
          <w:p>
            <w:pPr>
              <w:jc w:val="center"/>
            </w:pPr>
            <w:r>
              <w:rPr>
                <w:rFonts w:ascii="Arial" w:hAnsi="Arial" w:eastAsia="Arial"/>
                <w:b/>
                <w:i w:val="0"/>
                <w:color w:val="FFFFFF"/>
                <w:sz w:val="14"/>
              </w:rPr>
              <w:t>Изменение</w:t>
            </w:r>
          </w:p>
        </w:tc>
        <w:tc>
          <w:tcPr>
            <w:tcW w:type="dxa" w:w="4536"/>
            <w:shd w:fill="17365D"/>
            <w:tcMar>
              <w:top w:w="75" w:type="dxa"/>
              <w:start w:w="80" w:type="dxa"/>
              <w:bottom w:w="75" w:type="dxa"/>
              <w:end w:w="80" w:type="dxa"/>
            </w:tcMar>
            <w:vAlign w:val="center"/>
          </w:tcPr>
          <w:p>
            <w:pPr>
              <w:jc w:val="center"/>
            </w:pPr>
            <w:r>
              <w:rPr>
                <w:rFonts w:ascii="Arial" w:hAnsi="Arial" w:eastAsia="Arial"/>
                <w:b/>
                <w:i w:val="0"/>
                <w:color w:val="FFFFFF"/>
                <w:sz w:val="14"/>
              </w:rPr>
              <w:t>Что изменено</w:t>
            </w:r>
          </w:p>
        </w:tc>
        <w:tc>
          <w:tcPr>
            <w:tcW w:type="dxa" w:w="1701"/>
            <w:shd w:fill="17365D"/>
            <w:tcMar>
              <w:top w:w="75" w:type="dxa"/>
              <w:start w:w="80" w:type="dxa"/>
              <w:bottom w:w="75" w:type="dxa"/>
              <w:end w:w="80" w:type="dxa"/>
            </w:tcMar>
            <w:vAlign w:val="center"/>
          </w:tcPr>
          <w:p>
            <w:pPr>
              <w:jc w:val="center"/>
            </w:pPr>
            <w:r>
              <w:rPr>
                <w:rFonts w:ascii="Arial" w:hAnsi="Arial" w:eastAsia="Arial"/>
                <w:b/>
                <w:i w:val="0"/>
                <w:color w:val="FFFFFF"/>
                <w:sz w:val="14"/>
              </w:rPr>
              <w:t>Закрываемые ID</w:t>
            </w:r>
          </w:p>
        </w:tc>
        <w:tc>
          <w:tcPr>
            <w:tcW w:type="dxa" w:w="1984"/>
            <w:shd w:fill="17365D"/>
            <w:tcMar>
              <w:top w:w="75" w:type="dxa"/>
              <w:start w:w="80" w:type="dxa"/>
              <w:bottom w:w="75" w:type="dxa"/>
              <w:end w:w="80" w:type="dxa"/>
            </w:tcMar>
            <w:vAlign w:val="center"/>
          </w:tcPr>
          <w:p>
            <w:pPr>
              <w:jc w:val="center"/>
            </w:pPr>
            <w:r>
              <w:rPr>
                <w:rFonts w:ascii="Arial" w:hAnsi="Arial" w:eastAsia="Arial"/>
                <w:b/>
                <w:i w:val="0"/>
                <w:color w:val="FFFFFF"/>
                <w:sz w:val="14"/>
              </w:rPr>
              <w:t>Синхронизированные главы</w:t>
            </w:r>
          </w:p>
        </w:tc>
        <w:tc>
          <w:tcPr>
            <w:tcW w:type="dxa" w:w="4139"/>
            <w:shd w:fill="17365D"/>
            <w:tcMar>
              <w:top w:w="75" w:type="dxa"/>
              <w:start w:w="80" w:type="dxa"/>
              <w:bottom w:w="75" w:type="dxa"/>
              <w:end w:w="80" w:type="dxa"/>
            </w:tcMar>
            <w:vAlign w:val="center"/>
          </w:tcPr>
          <w:p>
            <w:pPr>
              <w:jc w:val="center"/>
            </w:pPr>
            <w:r>
              <w:rPr>
                <w:rFonts w:ascii="Arial" w:hAnsi="Arial" w:eastAsia="Arial"/>
                <w:b/>
                <w:i w:val="0"/>
                <w:color w:val="FFFFFF"/>
                <w:sz w:val="14"/>
              </w:rPr>
              <w:t>Почему ядро не затронуто</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1</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Понятийная архитектура</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Разведены инициатива, поручение, мандат, декларация, принятое положение, план, мониторинг и оценка.</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A-02, A-04</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II, V, XIX–XXV, XXVIII–XXIX</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Уточнение объектов исключает выбор выгодной правовой квалификации; общественное происхождение сохранено.</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2</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Иерархия принципов</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Вместо плоского каталога введены приоритет прав, компетенции и равенства, а также тест коллизий.</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A-03</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IV</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Не меняет цели Доктрины; ограничивает злоупотребление её принципами.</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3</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Правовая обязательность</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Исключены гарантированный результат и самостоятельное прямое действие; обязательны собственные действия, план, данные, мотивировка и процессуальная честность.</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A-04–A-06; B-01–B-03</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V, XXIII–XXIX</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Обязательность не ослаблена до опроса: она стала юридически определённой и соразмерной компетенции.</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4</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Свободный мандат и бюджет</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Запрещён официальный долг депутата голосовать; сохранены парламентская и бюджетная финальность.</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B-01–B-03, B-08</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V, XXIII, XXIX, XXXII–XXXIII</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Граждане сохраняют право требовать рассмотрения, ответа, плана и публичной ответственности.</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5</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Последствия избрания</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Избрание активирует только заранее установленные процедурные обязанности победителя; не приписывает избирателю согласие с каждым пунктом.</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B-06</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V, XXIII</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Сохраняется причинная связь между принятой позицией и послевыборной подотчётностью.</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6</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Национальная адаптация</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Универсальный текст отделён от национального конституционного пакета.</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A-07, H-07</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III, VI, VIII, XXXII</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Ядро едино; форма реализации адаптируется без скрытой универсализации одной страны.</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7</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Институциональная модель</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Отказ от постоянной квазичетвёртой ветви; презумпция существующих органов и временных функциональных панелей.</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D-01, D-05</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VII–IX, XXXII</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Гражданская автономия усиливается за счёт уменьшения посреднической власти.</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8</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Ответственность за решения</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Каждое значимое решение имеет автора, основание, срок, контроль и единое окно жалобы.</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D-02, D-06</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VII, XV, XVII–XVIII, XXXII</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Не передаёт содержательную власть координатору.</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9</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Формирование перечня</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Устранено закрытое содержательное ранжирование; введены прямой, случайный и защищённый каналы.</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C-01, C-07–C-09</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XII–XVII</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Ограничивает захват повестки, не заменяя выбор граждан экспертным усмотрением.</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10</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Смысловая целостность</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Исходный текст неизменяем; рабочая редакция прослеживаема и требует подтверждения.</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C-02–C-03</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XIII, XIX</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Усиливает, а не ослабляет гражданское происхождение.</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11</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Экспертиза и правовой фильтр</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Экспертиза информирует без политического вето; правовой отсев основан на закрытых нормах и судебной финальности.</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C-04–C-05</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XIV–XV</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Права защищаются без передачи экспертам права выбирать общественную цель.</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12</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Финансовая совместимость</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Фискальные сценарии раскрывают последствия, но не создают скрытого технического вето; бюджет утверждается обычным порядком.</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C-06, E-02, E-06</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XIV, XVII–XVIII, XXVII, XXXIII</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Государство определяет способы и ресурсы, общество видит цену выбора.</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13</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Кандидатская декларация</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Сохранено обязательное публичное отношение при запрете государственного толкования политического смысла и специальных содержательных санкций.</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B-04–B-05</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XX–XXII, XXXII</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Сохраняет центральный механизм сопоставимого выбора.</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14</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Мониторинг и оценка</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Введены две исходные базы, версия методик, многомерная оценка, особые мнения и запрет единого официального балла.</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H-01–H-03</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XXIV–XXVIII</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Подотчётность усилена без превращения оценщика в политический суд.</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15</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Публичная ответственность</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Исключены дисквалификация и специальные санкции за политический результат; сохранена ответственность за конкретные нарушения.</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B-09, H-03</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XXIX</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Не лишает граждан права переизбрать политика, зная результаты.</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16</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Пилотирование и прекращение</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Предрегистрация, независимый оценщик, контрольная альтернатива, ворота готовности и автоматическое прекращение по истечении срока.</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A-08, D-09, H-06–H-07</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XXXI</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Эволюционная природа стала юридически проверяемой.</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17</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Финансирование и влияние</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Потолки расходов, стоимость на участника, открытые закупки, антидробление и защита малых сторонников.</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E-01, E-04–E-05, F-05</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XXXIII–XXXIV</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Снижает финансовый захват без регистрации массовых политических предпочтений.</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18</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Информационная целостность</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Отказ от государственного арбитра политической истины; фокус на происхождении, подделках, рекламе и праве на ответ.</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F-03–F-04</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XVI, XXII, XXXV</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Сохраняет свободу политической речи и нейтральное информирование.</w:t>
            </w:r>
          </w:p>
        </w:tc>
      </w:tr>
      <w:tr>
        <w:trPr>
          <w:cantSplit w:val="true"/>
        </w:trPr>
        <w:tc>
          <w:tcPr>
            <w:tcW w:type="dxa" w:w="510"/>
            <w:shd w:fill="FFFFFF"/>
            <w:tcMar>
              <w:top w:w="55" w:type="dxa"/>
              <w:start w:w="65" w:type="dxa"/>
              <w:bottom w:w="55" w:type="dxa"/>
              <w:end w:w="65" w:type="dxa"/>
            </w:tcMar>
            <w:vAlign w:val="top"/>
          </w:tcPr>
          <w:p>
            <w:pPr>
              <w:spacing w:after="0"/>
            </w:pPr>
            <w:r>
              <w:rPr>
                <w:rFonts w:ascii="Arial" w:hAnsi="Arial" w:eastAsia="Arial"/>
                <w:b/>
                <w:i w:val="0"/>
                <w:color w:val="1F1F1F"/>
                <w:sz w:val="14"/>
              </w:rPr>
              <w:t>19</w:t>
            </w:r>
          </w:p>
        </w:tc>
        <w:tc>
          <w:tcPr>
            <w:tcW w:type="dxa" w:w="2268"/>
            <w:shd w:fill="FFFFFF"/>
            <w:tcMar>
              <w:top w:w="55" w:type="dxa"/>
              <w:start w:w="65" w:type="dxa"/>
              <w:bottom w:w="55" w:type="dxa"/>
              <w:end w:w="65" w:type="dxa"/>
            </w:tcMar>
            <w:vAlign w:val="top"/>
          </w:tcPr>
          <w:p>
            <w:pPr>
              <w:spacing w:after="0"/>
            </w:pPr>
            <w:r>
              <w:rPr>
                <w:rFonts w:ascii="Arial" w:hAnsi="Arial" w:eastAsia="Arial"/>
                <w:b w:val="0"/>
                <w:i w:val="0"/>
                <w:color w:val="1F1F1F"/>
                <w:sz w:val="14"/>
              </w:rPr>
              <w:t>Кибербезопасность</w:t>
            </w:r>
          </w:p>
        </w:tc>
        <w:tc>
          <w:tcPr>
            <w:tcW w:type="dxa" w:w="4536"/>
            <w:shd w:fill="FFFFFF"/>
            <w:tcMar>
              <w:top w:w="55" w:type="dxa"/>
              <w:start w:w="65" w:type="dxa"/>
              <w:bottom w:w="55" w:type="dxa"/>
              <w:end w:w="65" w:type="dxa"/>
            </w:tcMar>
            <w:vAlign w:val="top"/>
          </w:tcPr>
          <w:p>
            <w:pPr>
              <w:spacing w:after="0"/>
            </w:pPr>
            <w:r>
              <w:rPr>
                <w:rFonts w:ascii="Arial" w:hAnsi="Arial" w:eastAsia="Arial"/>
                <w:b w:val="0"/>
                <w:i w:val="0"/>
                <w:color w:val="1F1F1F"/>
                <w:sz w:val="14"/>
              </w:rPr>
              <w:t>Нулевое доверие, независимое доказательство, открытая сборка, SBOM, резерв, пересчёт и безопасный отказ.</w:t>
            </w:r>
          </w:p>
        </w:tc>
        <w:tc>
          <w:tcPr>
            <w:tcW w:type="dxa" w:w="1701"/>
            <w:shd w:fill="FFFFFF"/>
            <w:tcMar>
              <w:top w:w="55" w:type="dxa"/>
              <w:start w:w="65" w:type="dxa"/>
              <w:bottom w:w="55" w:type="dxa"/>
              <w:end w:w="65" w:type="dxa"/>
            </w:tcMar>
            <w:vAlign w:val="top"/>
          </w:tcPr>
          <w:p>
            <w:pPr>
              <w:spacing w:after="0"/>
            </w:pPr>
            <w:r>
              <w:rPr>
                <w:rFonts w:ascii="Arial" w:hAnsi="Arial" w:eastAsia="Arial"/>
                <w:b w:val="0"/>
                <w:i w:val="0"/>
                <w:color w:val="1F1F1F"/>
                <w:sz w:val="14"/>
              </w:rPr>
              <w:t>G-01, G-04–G-05</w:t>
            </w:r>
          </w:p>
        </w:tc>
        <w:tc>
          <w:tcPr>
            <w:tcW w:type="dxa" w:w="1984"/>
            <w:shd w:fill="FFFFFF"/>
            <w:tcMar>
              <w:top w:w="55" w:type="dxa"/>
              <w:start w:w="65" w:type="dxa"/>
              <w:bottom w:w="55" w:type="dxa"/>
              <w:end w:w="65" w:type="dxa"/>
            </w:tcMar>
            <w:vAlign w:val="top"/>
          </w:tcPr>
          <w:p>
            <w:pPr>
              <w:spacing w:after="0"/>
            </w:pPr>
            <w:r>
              <w:rPr>
                <w:rFonts w:ascii="Arial" w:hAnsi="Arial" w:eastAsia="Arial"/>
                <w:b w:val="0"/>
                <w:i w:val="0"/>
                <w:color w:val="1F1F1F"/>
                <w:sz w:val="14"/>
              </w:rPr>
              <w:t>XXXVI</w:t>
            </w:r>
          </w:p>
        </w:tc>
        <w:tc>
          <w:tcPr>
            <w:tcW w:type="dxa" w:w="4139"/>
            <w:shd w:fill="FFFFFF"/>
            <w:tcMar>
              <w:top w:w="55" w:type="dxa"/>
              <w:start w:w="65" w:type="dxa"/>
              <w:bottom w:w="55" w:type="dxa"/>
              <w:end w:w="65" w:type="dxa"/>
            </w:tcMar>
            <w:vAlign w:val="top"/>
          </w:tcPr>
          <w:p>
            <w:pPr>
              <w:spacing w:after="0"/>
            </w:pPr>
            <w:r>
              <w:rPr>
                <w:rFonts w:ascii="Arial" w:hAnsi="Arial" w:eastAsia="Arial"/>
                <w:b w:val="0"/>
                <w:i w:val="0"/>
                <w:color w:val="1F1F1F"/>
                <w:sz w:val="14"/>
              </w:rPr>
              <w:t>Цифровой канал не вытесняет очный и не получает презумпцию безопасности.</w:t>
            </w:r>
          </w:p>
        </w:tc>
      </w:tr>
      <w:tr>
        <w:trPr>
          <w:cantSplit w:val="true"/>
        </w:trPr>
        <w:tc>
          <w:tcPr>
            <w:tcW w:type="dxa" w:w="510"/>
            <w:shd w:fill="EEF4F9"/>
            <w:tcMar>
              <w:top w:w="55" w:type="dxa"/>
              <w:start w:w="65" w:type="dxa"/>
              <w:bottom w:w="55" w:type="dxa"/>
              <w:end w:w="65" w:type="dxa"/>
            </w:tcMar>
            <w:vAlign w:val="top"/>
          </w:tcPr>
          <w:p>
            <w:pPr>
              <w:spacing w:after="0"/>
            </w:pPr>
            <w:r>
              <w:rPr>
                <w:rFonts w:ascii="Arial" w:hAnsi="Arial" w:eastAsia="Arial"/>
                <w:b/>
                <w:i w:val="0"/>
                <w:color w:val="1F1F1F"/>
                <w:sz w:val="14"/>
              </w:rPr>
              <w:t>20</w:t>
            </w:r>
          </w:p>
        </w:tc>
        <w:tc>
          <w:tcPr>
            <w:tcW w:type="dxa" w:w="2268"/>
            <w:shd w:fill="EEF4F9"/>
            <w:tcMar>
              <w:top w:w="55" w:type="dxa"/>
              <w:start w:w="65" w:type="dxa"/>
              <w:bottom w:w="55" w:type="dxa"/>
              <w:end w:w="65" w:type="dxa"/>
            </w:tcMar>
            <w:vAlign w:val="top"/>
          </w:tcPr>
          <w:p>
            <w:pPr>
              <w:spacing w:after="0"/>
            </w:pPr>
            <w:r>
              <w:rPr>
                <w:rFonts w:ascii="Arial" w:hAnsi="Arial" w:eastAsia="Arial"/>
                <w:b w:val="0"/>
                <w:i w:val="0"/>
                <w:color w:val="1F1F1F"/>
                <w:sz w:val="14"/>
              </w:rPr>
              <w:t>Политическая приватность</w:t>
            </w:r>
          </w:p>
        </w:tc>
        <w:tc>
          <w:tcPr>
            <w:tcW w:type="dxa" w:w="4536"/>
            <w:shd w:fill="EEF4F9"/>
            <w:tcMar>
              <w:top w:w="55" w:type="dxa"/>
              <w:start w:w="65" w:type="dxa"/>
              <w:bottom w:w="55" w:type="dxa"/>
              <w:end w:w="65" w:type="dxa"/>
            </w:tcMar>
            <w:vAlign w:val="top"/>
          </w:tcPr>
          <w:p>
            <w:pPr>
              <w:spacing w:after="0"/>
            </w:pPr>
            <w:r>
              <w:rPr>
                <w:rFonts w:ascii="Arial" w:hAnsi="Arial" w:eastAsia="Arial"/>
                <w:b w:val="0"/>
                <w:i w:val="0"/>
                <w:color w:val="1F1F1F"/>
                <w:sz w:val="14"/>
              </w:rPr>
              <w:t>Несвязываемость распространена на весь цикл, метаданные, подрядчиков и исследования; введён многосторонний доступ.</w:t>
            </w:r>
          </w:p>
        </w:tc>
        <w:tc>
          <w:tcPr>
            <w:tcW w:type="dxa" w:w="1701"/>
            <w:shd w:fill="EEF4F9"/>
            <w:tcMar>
              <w:top w:w="55" w:type="dxa"/>
              <w:start w:w="65" w:type="dxa"/>
              <w:bottom w:w="55" w:type="dxa"/>
              <w:end w:w="65" w:type="dxa"/>
            </w:tcMar>
            <w:vAlign w:val="top"/>
          </w:tcPr>
          <w:p>
            <w:pPr>
              <w:spacing w:after="0"/>
            </w:pPr>
            <w:r>
              <w:rPr>
                <w:rFonts w:ascii="Arial" w:hAnsi="Arial" w:eastAsia="Arial"/>
                <w:b w:val="0"/>
                <w:i w:val="0"/>
                <w:color w:val="1F1F1F"/>
                <w:sz w:val="14"/>
              </w:rPr>
              <w:t>F-06–F-07, G-02, G-06–G-07</w:t>
            </w:r>
          </w:p>
        </w:tc>
        <w:tc>
          <w:tcPr>
            <w:tcW w:type="dxa" w:w="1984"/>
            <w:shd w:fill="EEF4F9"/>
            <w:tcMar>
              <w:top w:w="55" w:type="dxa"/>
              <w:start w:w="65" w:type="dxa"/>
              <w:bottom w:w="55" w:type="dxa"/>
              <w:end w:w="65" w:type="dxa"/>
            </w:tcMar>
            <w:vAlign w:val="top"/>
          </w:tcPr>
          <w:p>
            <w:pPr>
              <w:spacing w:after="0"/>
            </w:pPr>
            <w:r>
              <w:rPr>
                <w:rFonts w:ascii="Arial" w:hAnsi="Arial" w:eastAsia="Arial"/>
                <w:b w:val="0"/>
                <w:i w:val="0"/>
                <w:color w:val="1F1F1F"/>
                <w:sz w:val="14"/>
              </w:rPr>
              <w:t>XXXVII</w:t>
            </w:r>
          </w:p>
        </w:tc>
        <w:tc>
          <w:tcPr>
            <w:tcW w:type="dxa" w:w="4139"/>
            <w:shd w:fill="EEF4F9"/>
            <w:tcMar>
              <w:top w:w="55" w:type="dxa"/>
              <w:start w:w="65" w:type="dxa"/>
              <w:bottom w:w="55" w:type="dxa"/>
              <w:end w:w="65" w:type="dxa"/>
            </w:tcMar>
            <w:vAlign w:val="top"/>
          </w:tcPr>
          <w:p>
            <w:pPr>
              <w:spacing w:after="0"/>
            </w:pPr>
            <w:r>
              <w:rPr>
                <w:rFonts w:ascii="Arial" w:hAnsi="Arial" w:eastAsia="Arial"/>
                <w:b w:val="0"/>
                <w:i w:val="0"/>
                <w:color w:val="1F1F1F"/>
                <w:sz w:val="14"/>
              </w:rPr>
              <w:t>Защита граждан усилена архитектурой, а не только запретом.</w:t>
            </w:r>
          </w:p>
        </w:tc>
      </w:tr>
    </w:tbl>
    <w:p>
      <w:pPr>
        <w:pStyle w:val="Heading2"/>
        <w:keepNext/>
        <w:widowControl/>
      </w:pPr>
      <w:r>
        <w:t>C.2. Корректирующий протокол C2.1-01–C2.1-24</w:t>
      </w:r>
    </w:p>
    <w:tbl>
      <w:tblPr>
        <w:tblW w:type="auto" w:w="0"/>
        <w:jc w:val="center"/>
        <w:tblLayout w:type="fixed"/>
        <w:tblLook w:firstColumn="1" w:firstRow="1" w:lastColumn="0" w:lastRow="0" w:noHBand="0" w:noVBand="1" w:val="04A0"/>
      </w:tblPr>
      <w:tblGrid>
        <w:gridCol w:w="3740"/>
        <w:gridCol w:w="3740"/>
        <w:gridCol w:w="3740"/>
        <w:gridCol w:w="3740"/>
      </w:tblGrid>
      <w:tr>
        <w:trPr>
          <w:tblHeader w:val="true"/>
        </w:trPr>
        <w:tc>
          <w:tcPr>
            <w:tcW w:type="dxa" w:w="1224"/>
            <w:shd w:fill="17365D"/>
            <w:vAlign w:val="center"/>
            <w:tcMar>
              <w:top w:w="70" w:type="dxa"/>
              <w:start w:w="80" w:type="dxa"/>
              <w:bottom w:w="70" w:type="dxa"/>
              <w:end w:w="80" w:type="dxa"/>
            </w:tcMar>
          </w:tcPr>
          <w:p>
            <w:pPr>
              <w:spacing w:after="0" w:line="240" w:lineRule="auto"/>
            </w:pPr>
            <w:r/>
            <w:r>
              <w:rPr>
                <w:rFonts w:ascii="Arial" w:hAnsi="Arial"/>
                <w:b/>
                <w:color w:val="FFFFFF"/>
                <w:sz w:val="16"/>
              </w:rPr>
              <w:t>ID</w:t>
            </w:r>
          </w:p>
        </w:tc>
        <w:tc>
          <w:tcPr>
            <w:tcW w:type="dxa" w:w="3096"/>
            <w:shd w:fill="17365D"/>
            <w:vAlign w:val="center"/>
            <w:tcMar>
              <w:top w:w="70" w:type="dxa"/>
              <w:start w:w="80" w:type="dxa"/>
              <w:bottom w:w="70" w:type="dxa"/>
              <w:end w:w="80" w:type="dxa"/>
            </w:tcMar>
          </w:tcPr>
          <w:p>
            <w:pPr>
              <w:spacing w:after="0" w:line="240" w:lineRule="auto"/>
            </w:pPr>
            <w:r/>
            <w:r>
              <w:rPr>
                <w:rFonts w:ascii="Arial" w:hAnsi="Arial"/>
                <w:b/>
                <w:color w:val="FFFFFF"/>
                <w:sz w:val="16"/>
              </w:rPr>
              <w:t>Место изменения</w:t>
            </w:r>
          </w:p>
        </w:tc>
        <w:tc>
          <w:tcPr>
            <w:tcW w:type="dxa" w:w="8856"/>
            <w:shd w:fill="17365D"/>
            <w:vAlign w:val="center"/>
            <w:tcMar>
              <w:top w:w="70" w:type="dxa"/>
              <w:start w:w="80" w:type="dxa"/>
              <w:bottom w:w="70" w:type="dxa"/>
              <w:end w:w="80" w:type="dxa"/>
            </w:tcMar>
          </w:tcPr>
          <w:p>
            <w:pPr>
              <w:spacing w:after="0" w:line="240" w:lineRule="auto"/>
            </w:pPr>
            <w:r/>
            <w:r>
              <w:rPr>
                <w:rFonts w:ascii="Arial" w:hAnsi="Arial"/>
                <w:b/>
                <w:color w:val="FFFFFF"/>
                <w:sz w:val="16"/>
              </w:rPr>
              <w:t>Выполненное изменение</w:t>
            </w:r>
          </w:p>
        </w:tc>
        <w:tc>
          <w:tcPr>
            <w:tcW w:type="dxa" w:w="1728"/>
            <w:shd w:fill="17365D"/>
            <w:vAlign w:val="center"/>
            <w:tcMar>
              <w:top w:w="70" w:type="dxa"/>
              <w:start w:w="80" w:type="dxa"/>
              <w:bottom w:w="70" w:type="dxa"/>
              <w:end w:w="80" w:type="dxa"/>
            </w:tcMar>
          </w:tcPr>
          <w:p>
            <w:pPr>
              <w:spacing w:after="0" w:line="240" w:lineRule="auto"/>
            </w:pPr>
            <w:r/>
            <w:r>
              <w:rPr>
                <w:rFonts w:ascii="Arial" w:hAnsi="Arial"/>
                <w:b/>
                <w:color w:val="FFFFFF"/>
                <w:sz w:val="16"/>
              </w:rPr>
              <w:t>Закрывает</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C2.1-01</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III, V, XX, XXXII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Установить единый универсальный статус ограниченного отказа и исключить противоречивые последствия для регистрации.</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K-01</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C2.1-02</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XX–XXI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Ввести формальную грамматику категорий и отдельные правила счёта минимальной доли.</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K-02, K-03</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C2.1-03</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V, XXIII, XXIX, XXXII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Закрыть перечень юстициабельных собственных действий и средств защиты.</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K-04, K-11</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C2.1-04</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XVII–XVIII, XX</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Сделать карту конфликтов обязательной; установить конфликтные группы и формулу знаменателя.</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K-05</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C2.1-05</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XII, XVIII–XIX</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Ввести статусы легитимности результата и автоматическое понижение при слабом участии/разрывах.</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K-06</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C2.1-06</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VII–IX</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Разделить технический приём, валидацию и отказ; ввести презумпцию продолжения и двойное подтверждение ручных исключений.</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K-07</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C2.1-07</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XII, XVII, XXXVII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Перестроить защищённый канал на анализ воздействия на права без реестра идентичностей.</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K-08</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C2.1-08</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XII–XIII, XVII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Закрепить один тематико-целевой кластер — один лотерейный шанс и агрегацию связанной координации.</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K-09</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C2.1-09</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IX, XVIII, XXXI, XXXVI–XXXVII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Ввести кворум независимости и автоматический запрет сертификации при его утрате.</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K-10</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C2.1-10</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XXIII–XXIX, XXXII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Запретить перенос процедурного статуса в политические права без отдельного состава общего права.</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K-11</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C2.1-11</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Сквозная норма + все чрезвычайные главы</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Создать единый чрезвычайный реестр, общий кумулятивный срок и тест эквивалентности оснований.</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K-12</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C2.1-12</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XXXI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Разделить пилотные ворота по реально проверяемым полномочиям; запретить экстраполяцию.</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K-13</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C2.1-13</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XVII–XVIII, XXII, XXXV</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Закрепить неэксклюзивность официальной повестки и равное представление дополнительных тем кандидатов.</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S-01</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C2.1-14</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XX–XXII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Добавить нейтральную помощь и минимальную форму для снижения ресурсного неравенства кандидатов.</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S-02</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C2.1-15</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XV, XVII–XVIII, XXXI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Уточнить эффективное ускоренное обжалование, секретные материалы и специального защитника.</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S-03, S-04</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C2.1-16</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VI, XXXII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Добавить коллизионный протокол одновременных циклов разных уровней.</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S-05</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C2.1-17</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XII, XVII–XVIII, XXXIII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Ввести обязательный протокол выбора и замораживания национальных параметров.</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S-06</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C2.1-18</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XXXI</w:t>
            </w:r>
          </w:p>
        </w:tc>
        <w:tc>
          <w:tcPr>
            <w:tcW w:type="dxa" w:w="3740"/>
            <w:shd w:fill="F2F2F2"/>
            <w:vAlign w:val="center"/>
            <w:tcMar>
              <w:top w:w="70" w:type="dxa"/>
              <w:start w:w="80" w:type="dxa"/>
              <w:bottom w:w="70" w:type="dxa"/>
              <w:end w:w="80" w:type="dxa"/>
            </w:tcMar>
          </w:tcPr>
          <w:p>
            <w:pPr>
              <w:spacing w:after="0" w:line="240" w:lineRule="auto"/>
            </w:pPr>
            <w:r>
              <w:t>Усилить независимость evaluator, сравнительный исходный сценарий и функциональный запрет обхода автоматическое прекращение по истечении срока.</w:t>
            </w:r>
            <w:r>
              <w:rPr>
                <w:rFonts w:ascii="Arial" w:hAnsi="Arial"/>
                <w:b w:val="0"/>
                <w:sz w:val="15"/>
              </w:rPr>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S-07, S-08</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C2.1-19</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IX, XXXIII, XXXVI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Добавить карту инфраструктурной независимости и запрет общего администратора критических контуров.</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S-09</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C2.1-20</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XXX, XXXVII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Ввести периодическую переоценку архивных данных и двухконтурную проверку равенства.</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S-10, S-11</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C2.1-21</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XI–XIII, XVIII</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Установить юридический режим эквивалентных переводов и доступных версий.</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S-13</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C2.1-22</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XXXIV–XXXVII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Уточнить малых доноров, ИИ-антифрод и предел официальных исправлений.</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S-12, S-14, S-16</w:t>
            </w:r>
          </w:p>
        </w:tc>
      </w:tr>
      <w:tr>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C2.1-23</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Гл. XXIII–XXX</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Добавить коалиционный режим, смену власти, данные и календарь оценок.</w:t>
            </w:r>
          </w:p>
        </w:tc>
        <w:tc>
          <w:tcPr>
            <w:tcW w:type="dxa" w:w="3740"/>
            <w:shd w:fill="FFFFFF"/>
            <w:vAlign w:val="center"/>
            <w:tcMar>
              <w:top w:w="70" w:type="dxa"/>
              <w:start w:w="80" w:type="dxa"/>
              <w:bottom w:w="70" w:type="dxa"/>
              <w:end w:w="80" w:type="dxa"/>
            </w:tcMar>
          </w:tcPr>
          <w:p>
            <w:pPr>
              <w:spacing w:after="0" w:line="240" w:lineRule="auto"/>
            </w:pPr>
            <w:r/>
            <w:r>
              <w:rPr>
                <w:rFonts w:ascii="Arial" w:hAnsi="Arial"/>
                <w:b w:val="0"/>
                <w:sz w:val="15"/>
              </w:rPr>
              <w:t>S-17–S-19</w:t>
            </w:r>
          </w:p>
        </w:tc>
      </w:tr>
      <w:tr>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C2.1-24</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Гл. XX–XXII</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Установить честный режим коллективного бойкота без подмены выборов.</w:t>
            </w:r>
          </w:p>
        </w:tc>
        <w:tc>
          <w:tcPr>
            <w:tcW w:type="dxa" w:w="3740"/>
            <w:shd w:fill="F2F2F2"/>
            <w:vAlign w:val="center"/>
            <w:tcMar>
              <w:top w:w="70" w:type="dxa"/>
              <w:start w:w="80" w:type="dxa"/>
              <w:bottom w:w="70" w:type="dxa"/>
              <w:end w:w="80" w:type="dxa"/>
            </w:tcMar>
          </w:tcPr>
          <w:p>
            <w:pPr>
              <w:spacing w:after="0" w:line="240" w:lineRule="auto"/>
            </w:pPr>
            <w:r/>
            <w:r>
              <w:rPr>
                <w:rFonts w:ascii="Arial" w:hAnsi="Arial"/>
                <w:b w:val="0"/>
                <w:sz w:val="15"/>
              </w:rPr>
              <w:t>S-20</w:t>
            </w:r>
          </w:p>
        </w:tc>
      </w:tr>
    </w:tbl>
    <w:tbl>
      <w:tblPr>
        <w:tblStyle w:val="TableGrid"/>
        <w:tblW w:type="auto" w:w="0"/>
        <w:tblLook w:firstColumn="1" w:firstRow="1" w:lastColumn="0" w:lastRow="0" w:noHBand="0" w:noVBand="1" w:val="04A0"/>
      </w:tblPr>
      <w:tblGrid>
        <w:gridCol w:w="9951"/>
      </w:tblGrid>
      <w:tr>
        <w:trPr>
          <w:tblHeader w:val="true"/>
        </w:trPr>
        <w:tc>
          <w:tcPr>
            <w:tcW w:type="dxa" w:w="9951"/>
            <w:shd w:fill="DDEBF7"/>
            <w:vAlign w:val="center"/>
          </w:tcPr>
          <w:p>
            <w:pPr>
              <w:jc w:val="center"/>
            </w:pPr>
            <w:r>
              <w:rPr>
                <w:b/>
                <w:sz w:val="20"/>
              </w:rPr>
              <w:t>СТАТУС ПРОТОКОЛА C2.1</w:t>
            </w:r>
          </w:p>
          <w:p>
            <w:pPr>
              <w:jc w:val="center"/>
            </w:pPr>
            <w:r>
              <w:rPr>
                <w:sz w:val="18"/>
              </w:rPr>
              <w:t>Все двадцать четыре изменения внесены в консолидированный текст, синхронизированы по связанным главам и проверены регрессионными сценариями. Невыполненных пунктов протокола в мастер-версии 2.1 не осталось.</w:t>
            </w:r>
          </w:p>
        </w:tc>
      </w:tr>
    </w:tbl>
    <w:p>
      <w:pPr>
        <w:widowControl/>
      </w:pPr>
      <w:r>
        <w:br w:type="page"/>
      </w:r>
    </w:p>
    <w:p>
      <w:pPr>
        <w:pStyle w:val="Heading1"/>
        <w:keepNext/>
        <w:pageBreakBefore/>
        <w:widowControl/>
      </w:pPr>
      <w:r>
        <w:t>Приложение D. Повторный финальный стресс-тест редакции 2.1</w:t>
      </w:r>
    </w:p>
    <w:p>
      <w:pPr>
        <w:widowControl/>
      </w:pPr>
      <w:r>
        <w:rPr>
          <w:b w:val="0"/>
          <w:i w:val="0"/>
        </w:rPr>
        <w:t>Проверка проведена в режиме модельной междисциплинарной комиссии и принципа враждебной среды. Она не подтверждает Доктрину по умолчанию, а пытается использовать её ограничения, исключения, календари, данные, бюджет, технические контуры и процедуры обжалования против самой модели.</w:t>
      </w:r>
    </w:p>
    <w:p>
      <w:pPr>
        <w:pStyle w:val="Heading2"/>
        <w:keepNext/>
        <w:widowControl/>
      </w:pPr>
      <w:r>
        <w:t>D.1. Финальная атака с позиций основных противников</w:t>
      </w:r>
    </w:p>
    <w:tbl>
      <w:tblPr>
        <w:tblStyle w:val="TableGrid"/>
        <w:tblW w:type="auto" w:w="0"/>
        <w:tblLook w:firstColumn="1" w:firstRow="1" w:lastColumn="0" w:lastRow="0" w:noHBand="0" w:noVBand="1" w:val="04A0"/>
      </w:tblPr>
      <w:tblGrid>
        <w:gridCol w:w="1990"/>
        <w:gridCol w:w="1990"/>
        <w:gridCol w:w="1990"/>
        <w:gridCol w:w="1990"/>
        <w:gridCol w:w="1990"/>
      </w:tblGrid>
      <w:tr>
        <w:trPr>
          <w:tblHeader w:val="true"/>
        </w:trPr>
        <w:tc>
          <w:tcPr>
            <w:tcW w:type="dxa" w:w="1990"/>
            <w:shd w:fill="D9EAF7"/>
          </w:tcPr>
          <w:p>
            <w:r>
              <w:t>Атакующая позиция</w:t>
            </w:r>
          </w:p>
        </w:tc>
        <w:tc>
          <w:tcPr>
            <w:tcW w:type="dxa" w:w="1990"/>
            <w:shd w:fill="D9EAF7"/>
          </w:tcPr>
          <w:p>
            <w:r>
              <w:t>Финальная стратегия атаки на 2.1</w:t>
            </w:r>
          </w:p>
        </w:tc>
        <w:tc>
          <w:tcPr>
            <w:tcW w:type="dxa" w:w="1990"/>
            <w:shd w:fill="D9EAF7"/>
          </w:tcPr>
          <w:p>
            <w:r>
              <w:t>Уровень риска</w:t>
            </w:r>
          </w:p>
        </w:tc>
        <w:tc>
          <w:tcPr>
            <w:tcW w:type="dxa" w:w="1990"/>
            <w:shd w:fill="D9EAF7"/>
          </w:tcPr>
          <w:p>
            <w:r>
              <w:t>Встроенный ответ редакции 2.1</w:t>
            </w:r>
          </w:p>
        </w:tc>
        <w:tc>
          <w:tcPr>
            <w:tcW w:type="dxa" w:w="1990"/>
            <w:shd w:fill="D9EAF7"/>
          </w:tcPr>
          <w:p>
            <w:r>
              <w:t>Итог повторной проверки</w:t>
            </w:r>
          </w:p>
        </w:tc>
      </w:tr>
      <w:tr>
        <w:tc>
          <w:tcPr>
            <w:tcW w:type="dxa" w:w="1990"/>
          </w:tcPr>
          <w:p>
            <w:r>
              <w:t>Действующая власть</w:t>
            </w:r>
          </w:p>
        </w:tc>
        <w:tc>
          <w:tcPr>
            <w:tcW w:type="dxa" w:w="1990"/>
          </w:tcPr>
          <w:p>
            <w:r>
              <w:t>Использовать технические сроки, фискальные сценарии, чрезвычайные основания и общую инфраструктуру, не нарушая прямых запретов.</w:t>
            </w:r>
          </w:p>
        </w:tc>
        <w:tc>
          <w:tcPr>
            <w:tcW w:type="dxa" w:w="1990"/>
          </w:tcPr>
          <w:p>
            <w:r>
              <w:t>Высокий</w:t>
            </w:r>
          </w:p>
        </w:tc>
        <w:tc>
          <w:tcPr>
            <w:tcW w:type="dxa" w:w="1990"/>
          </w:tcPr>
          <w:p>
            <w:r>
              <w:t>Требуется безопасная остановка при утрате независимости и единый чрезвычайный реестр.</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Парламентское большинство</w:t>
            </w:r>
          </w:p>
        </w:tc>
        <w:tc>
          <w:tcPr>
            <w:tcW w:type="dxa" w:w="1990"/>
          </w:tcPr>
          <w:p>
            <w:r>
              <w:t>Согласиться рассматривать поручение, но систематически откладывать, дробить и переопределять его через обычные процедуры.</w:t>
            </w:r>
          </w:p>
        </w:tc>
        <w:tc>
          <w:tcPr>
            <w:tcW w:type="dxa" w:w="1990"/>
          </w:tcPr>
          <w:p>
            <w:r>
              <w:t>Средний</w:t>
            </w:r>
          </w:p>
        </w:tc>
        <w:tc>
          <w:tcPr>
            <w:tcW w:type="dxa" w:w="1990"/>
          </w:tcPr>
          <w:p>
            <w:r>
              <w:t>Политический выбор допустим; недопустимы ложные данные, молчание и фиктивное рассмотрение.</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Парламентская оппозиция</w:t>
            </w:r>
          </w:p>
        </w:tc>
        <w:tc>
          <w:tcPr>
            <w:tcW w:type="dxa" w:w="1990"/>
          </w:tcPr>
          <w:p>
            <w:r>
              <w:t>Объявить официальный перечень государственным экзаменом, бойкотировать декларации и выпускать альтернативный мандат.</w:t>
            </w:r>
          </w:p>
        </w:tc>
        <w:tc>
          <w:tcPr>
            <w:tcW w:type="dxa" w:w="1990"/>
          </w:tcPr>
          <w:p>
            <w:r>
              <w:t>Высокий</w:t>
            </w:r>
          </w:p>
        </w:tc>
        <w:tc>
          <w:tcPr>
            <w:tcW w:type="dxa" w:w="1990"/>
          </w:tcPr>
          <w:p>
            <w:r>
              <w:t>Нужна ясная граница между регистрацией кандидата, полнотой декларации и статусом присоединения к мандату.</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Конституционный суд</w:t>
            </w:r>
          </w:p>
        </w:tc>
        <w:tc>
          <w:tcPr>
            <w:tcW w:type="dxa" w:w="1990"/>
          </w:tcPr>
          <w:p>
            <w:r>
              <w:t>Атаковать ограниченный предел отказа, автоматическое возникновение собственных обязанностей и неодинаковые национальные режимы.</w:t>
            </w:r>
          </w:p>
        </w:tc>
        <w:tc>
          <w:tcPr>
            <w:tcW w:type="dxa" w:w="1990"/>
          </w:tcPr>
          <w:p>
            <w:r>
              <w:t>Критический</w:t>
            </w:r>
          </w:p>
        </w:tc>
        <w:tc>
          <w:tcPr>
            <w:tcW w:type="dxa" w:w="1990"/>
          </w:tcPr>
          <w:p>
            <w:r>
              <w:t>Необходим единый универсальный кандидатский режим и закрытый каталог юстициабельных обязанностей.</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Суды общей юрисдикции</w:t>
            </w:r>
          </w:p>
        </w:tc>
        <w:tc>
          <w:tcPr>
            <w:tcW w:type="dxa" w:w="1990"/>
          </w:tcPr>
          <w:p>
            <w:r>
              <w:t>Отказаться различать процедурное и содержательное исполнение в делах об «обязательном собственном действии».</w:t>
            </w:r>
          </w:p>
        </w:tc>
        <w:tc>
          <w:tcPr>
            <w:tcW w:type="dxa" w:w="1990"/>
          </w:tcPr>
          <w:p>
            <w:r>
              <w:t>Высокий</w:t>
            </w:r>
          </w:p>
        </w:tc>
        <w:tc>
          <w:tcPr>
            <w:tcW w:type="dxa" w:w="1990"/>
          </w:tcPr>
          <w:p>
            <w:r>
              <w:t>Нужна грамматика действий и исчерпывающие средства судебной защиты.</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Исполнительный аппарат</w:t>
            </w:r>
          </w:p>
        </w:tc>
        <w:tc>
          <w:tcPr>
            <w:tcW w:type="dxa" w:w="1990"/>
          </w:tcPr>
          <w:p>
            <w:r>
              <w:t>Превратить планы и мониторинг в отчётную промышленность, назначить формальных владельцев без ресурсов.</w:t>
            </w:r>
          </w:p>
        </w:tc>
        <w:tc>
          <w:tcPr>
            <w:tcW w:type="dxa" w:w="1990"/>
          </w:tcPr>
          <w:p>
            <w:r>
              <w:t>Высокий</w:t>
            </w:r>
          </w:p>
        </w:tc>
        <w:tc>
          <w:tcPr>
            <w:tcW w:type="dxa" w:w="1990"/>
          </w:tcPr>
          <w:p>
            <w:r>
              <w:t>Сохранять критический путь, полномочия, ресурсы и ответственность назначающего субъекта.</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Силовые структуры</w:t>
            </w:r>
          </w:p>
        </w:tc>
        <w:tc>
          <w:tcPr>
            <w:tcW w:type="dxa" w:w="1990"/>
          </w:tcPr>
          <w:p>
            <w:r>
              <w:t>Расширять секретность и связывание данных через разные чрезвычайные и расследовательские основания.</w:t>
            </w:r>
          </w:p>
        </w:tc>
        <w:tc>
          <w:tcPr>
            <w:tcW w:type="dxa" w:w="1990"/>
          </w:tcPr>
          <w:p>
            <w:r>
              <w:t>Критический</w:t>
            </w:r>
          </w:p>
        </w:tc>
        <w:tc>
          <w:tcPr>
            <w:tcW w:type="dxa" w:w="1990"/>
          </w:tcPr>
          <w:p>
            <w:r>
              <w:t>Единый кумулятивный лимит, специальный защитник и уничтожение временных связей.</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Органы безопасности</w:t>
            </w:r>
          </w:p>
        </w:tc>
        <w:tc>
          <w:tcPr>
            <w:tcW w:type="dxa" w:w="1990"/>
          </w:tcPr>
          <w:p>
            <w:r>
              <w:t>Сосредоточить метаданные у общего поставщика или идентификационного контура, не нарушая формального разделения баз.</w:t>
            </w:r>
          </w:p>
        </w:tc>
        <w:tc>
          <w:tcPr>
            <w:tcW w:type="dxa" w:w="1990"/>
          </w:tcPr>
          <w:p>
            <w:r>
              <w:t>Критический</w:t>
            </w:r>
          </w:p>
        </w:tc>
        <w:tc>
          <w:tcPr>
            <w:tcW w:type="dxa" w:w="1990"/>
          </w:tcPr>
          <w:p>
            <w:r>
              <w:t>Нужны независимость инфраструктуры, отсутствие общей телеметрии и порог безопасного отказа.</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Международные организации</w:t>
            </w:r>
          </w:p>
        </w:tc>
        <w:tc>
          <w:tcPr>
            <w:tcW w:type="dxa" w:w="1990"/>
          </w:tcPr>
          <w:p>
            <w:r>
              <w:t>Поставить под сомнение свободу кандидата, равенство участия и защиту меньшинств.</w:t>
            </w:r>
          </w:p>
        </w:tc>
        <w:tc>
          <w:tcPr>
            <w:tcW w:type="dxa" w:w="1990"/>
          </w:tcPr>
          <w:p>
            <w:r>
              <w:t>Высокий</w:t>
            </w:r>
          </w:p>
        </w:tc>
        <w:tc>
          <w:tcPr>
            <w:tcW w:type="dxa" w:w="1990"/>
          </w:tcPr>
          <w:p>
            <w:r>
              <w:t>Национальный режим не должен превращать общественное поручение в обход выборов и прав.</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Правозащитники</w:t>
            </w:r>
          </w:p>
        </w:tc>
        <w:tc>
          <w:tcPr>
            <w:tcW w:type="dxa" w:w="1990"/>
          </w:tcPr>
          <w:p>
            <w:r>
              <w:t>Оспорить определение «затрагиваемой группы», раскрытие влияния и доступ к политическим данным.</w:t>
            </w:r>
          </w:p>
        </w:tc>
        <w:tc>
          <w:tcPr>
            <w:tcW w:type="dxa" w:w="1990"/>
          </w:tcPr>
          <w:p>
            <w:r>
              <w:t>Высокий</w:t>
            </w:r>
          </w:p>
        </w:tc>
        <w:tc>
          <w:tcPr>
            <w:tcW w:type="dxa" w:w="1990"/>
          </w:tcPr>
          <w:p>
            <w:r>
              <w:t>Защищённый канал должен строиться на воздействии на права, а не на реестре идентичностей.</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СМИ и платформы</w:t>
            </w:r>
          </w:p>
        </w:tc>
        <w:tc>
          <w:tcPr>
            <w:tcW w:type="dxa" w:w="1990"/>
          </w:tcPr>
          <w:p>
            <w:r>
              <w:t>Указать, что официальные исправления, пакеты и порядок тем всё ещё создают государственную рамку истины и внимания.</w:t>
            </w:r>
          </w:p>
        </w:tc>
        <w:tc>
          <w:tcPr>
            <w:tcW w:type="dxa" w:w="1990"/>
          </w:tcPr>
          <w:p>
            <w:r>
              <w:t>Средний</w:t>
            </w:r>
          </w:p>
        </w:tc>
        <w:tc>
          <w:tcPr>
            <w:tcW w:type="dxa" w:w="1990"/>
          </w:tcPr>
          <w:p>
            <w:r>
              <w:t>Официальный контур должен исправлять только статус и источник, не политическую интерпретацию.</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Крупный бизнес и организованные группы</w:t>
            </w:r>
          </w:p>
        </w:tc>
        <w:tc>
          <w:tcPr>
            <w:tcW w:type="dxa" w:w="1990"/>
          </w:tcPr>
          <w:p>
            <w:r>
              <w:t>Захватывать прямой канал ресурсом, случайный канал множеством кластеров и экспертизу альтернативными моделями.</w:t>
            </w:r>
          </w:p>
        </w:tc>
        <w:tc>
          <w:tcPr>
            <w:tcW w:type="dxa" w:w="1990"/>
          </w:tcPr>
          <w:p>
            <w:r>
              <w:t>Высокий</w:t>
            </w:r>
          </w:p>
        </w:tc>
        <w:tc>
          <w:tcPr>
            <w:tcW w:type="dxa" w:w="1990"/>
          </w:tcPr>
          <w:p>
            <w:r>
              <w:t>Нужны правила координации, один кластер — один шанс и полная бенефициарная прозрачность крупных кампаний.</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Регионы</w:t>
            </w:r>
          </w:p>
        </w:tc>
        <w:tc>
          <w:tcPr>
            <w:tcW w:type="dxa" w:w="1990"/>
          </w:tcPr>
          <w:p>
            <w:r>
              <w:t>Атаковать национальные пункты совместной компетенции и неравную территориальную представительность.</w:t>
            </w:r>
          </w:p>
        </w:tc>
        <w:tc>
          <w:tcPr>
            <w:tcW w:type="dxa" w:w="1990"/>
          </w:tcPr>
          <w:p>
            <w:r>
              <w:t>Средний</w:t>
            </w:r>
          </w:p>
        </w:tc>
        <w:tc>
          <w:tcPr>
            <w:tcW w:type="dxa" w:w="1990"/>
          </w:tcPr>
          <w:p>
            <w:r>
              <w:t>Карта компетенции должна предшествовать голосованию; согласие уровня и финансирование обязательны.</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Муниципалитеты</w:t>
            </w:r>
          </w:p>
        </w:tc>
        <w:tc>
          <w:tcPr>
            <w:tcW w:type="dxa" w:w="1990"/>
          </w:tcPr>
          <w:p>
            <w:r>
              <w:t>Показать, что полноценный офлайн-контур и аудит несоразмерны местным ресурсам.</w:t>
            </w:r>
          </w:p>
        </w:tc>
        <w:tc>
          <w:tcPr>
            <w:tcW w:type="dxa" w:w="1990"/>
          </w:tcPr>
          <w:p>
            <w:r>
              <w:t>Высокий</w:t>
            </w:r>
          </w:p>
        </w:tc>
        <w:tc>
          <w:tcPr>
            <w:tcW w:type="dxa" w:w="1990"/>
          </w:tcPr>
          <w:p>
            <w:r>
              <w:t>Пилот — только при добровольном участии, полном финансировании и праве прекратить эксперимент.</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Специалисты по кибербезопасности</w:t>
            </w:r>
          </w:p>
        </w:tc>
        <w:tc>
          <w:tcPr>
            <w:tcW w:type="dxa" w:w="1990"/>
          </w:tcPr>
          <w:p>
            <w:r>
              <w:t>Доказать невозможность абсолютной тайны, безопасного удалённого участия и полной независимости цепочки поставок.</w:t>
            </w:r>
          </w:p>
        </w:tc>
        <w:tc>
          <w:tcPr>
            <w:tcW w:type="dxa" w:w="1990"/>
          </w:tcPr>
          <w:p>
            <w:r>
              <w:t>Неустранимый</w:t>
            </w:r>
          </w:p>
        </w:tc>
        <w:tc>
          <w:tcPr>
            <w:tcW w:type="dxa" w:w="1990"/>
          </w:tcPr>
          <w:p>
            <w:r>
              <w:t>Сохраняется очный источник истины, независимая сертификация и запрет официального результата при критическом дефекте.</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Специалисты по государственному управлению</w:t>
            </w:r>
          </w:p>
        </w:tc>
        <w:tc>
          <w:tcPr>
            <w:tcW w:type="dxa" w:w="1990"/>
          </w:tcPr>
          <w:p>
            <w:r>
              <w:t>Показать, что временные панели и единое окно всё равно образуют сложную последовательную систему.</w:t>
            </w:r>
          </w:p>
        </w:tc>
        <w:tc>
          <w:tcPr>
            <w:tcW w:type="dxa" w:w="1990"/>
          </w:tcPr>
          <w:p>
            <w:r>
              <w:t>Высокий</w:t>
            </w:r>
          </w:p>
        </w:tc>
        <w:tc>
          <w:tcPr>
            <w:tcW w:type="dxa" w:w="1990"/>
          </w:tcPr>
          <w:p>
            <w:r>
              <w:t>Нужна карта минимально необходимого процесса и запрет создавать панель без отдельного теста необходимости.</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Обычные граждане</w:t>
            </w:r>
          </w:p>
        </w:tc>
        <w:tc>
          <w:tcPr>
            <w:tcW w:type="dxa" w:w="1990"/>
          </w:tcPr>
          <w:p>
            <w:r>
              <w:t>Не участвовать из-за сложности, недоверия или отсутствия немедленной пользы.</w:t>
            </w:r>
          </w:p>
        </w:tc>
        <w:tc>
          <w:tcPr>
            <w:tcW w:type="dxa" w:w="1990"/>
          </w:tcPr>
          <w:p>
            <w:r>
              <w:t>Неустранимый</w:t>
            </w:r>
          </w:p>
        </w:tc>
        <w:tc>
          <w:tcPr>
            <w:tcW w:type="dxa" w:w="1990"/>
          </w:tcPr>
          <w:p>
            <w:r>
              <w:t>Статус результата должен отражать участие; система не вправе объявлять слабую выборку единой волей.</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r>
        <w:tc>
          <w:tcPr>
            <w:tcW w:type="dxa" w:w="1990"/>
          </w:tcPr>
          <w:p>
            <w:r>
              <w:t>Недобросовестный политический актор</w:t>
            </w:r>
          </w:p>
        </w:tc>
        <w:tc>
          <w:tcPr>
            <w:tcW w:type="dxa" w:w="1990"/>
          </w:tcPr>
          <w:p>
            <w:r>
              <w:t>Комбинировать самоописание, условное принятие, клоновые инициативы, технические сроки, чрезвычайность и оценочную публичность.</w:t>
            </w:r>
          </w:p>
        </w:tc>
        <w:tc>
          <w:tcPr>
            <w:tcW w:type="dxa" w:w="1990"/>
          </w:tcPr>
          <w:p>
            <w:r>
              <w:t>Критический</w:t>
            </w:r>
          </w:p>
        </w:tc>
        <w:tc>
          <w:tcPr>
            <w:tcW w:type="dxa" w:w="1990"/>
          </w:tcPr>
          <w:p>
            <w:r>
              <w:t>Защита должна строиться на совокупных сценариях, а не на изолированных запретах каждой главы.</w:t>
            </w:r>
          </w:p>
        </w:tc>
        <w:tc>
          <w:tcPr>
            <w:tcW w:type="dxa" w:w="1990"/>
          </w:tcPr>
          <w:p>
            <w:r>
              <w:t>Фатального внутреннего противоречия не выявлено. Риск сохраняется в пределах, прямо обозначенных Доктриной, и требует национальной проверки, пилота либо независимого контроля исполнения.</w:t>
            </w:r>
          </w:p>
        </w:tc>
      </w:tr>
    </w:tbl>
    <w:p>
      <w:pPr>
        <w:pStyle w:val="Heading2"/>
        <w:keepNext/>
        <w:widowControl/>
      </w:pPr>
      <w:r>
        <w:t>D.2. Регрессионные сценарии T-01–T-12</w:t>
      </w:r>
    </w:p>
    <w:tbl>
      <w:tblPr>
        <w:tblStyle w:val="TableGrid"/>
        <w:tblW w:type="auto" w:w="0"/>
        <w:tblLook w:firstColumn="1" w:firstRow="1" w:lastColumn="0" w:lastRow="0" w:noHBand="0" w:noVBand="1" w:val="04A0"/>
      </w:tblPr>
      <w:tblGrid>
        <w:gridCol w:w="2488"/>
        <w:gridCol w:w="2488"/>
        <w:gridCol w:w="2488"/>
        <w:gridCol w:w="2488"/>
      </w:tblGrid>
      <w:tr>
        <w:trPr>
          <w:tblHeader w:val="true"/>
        </w:trPr>
        <w:tc>
          <w:tcPr>
            <w:tcW w:type="dxa" w:w="2488"/>
            <w:shd w:fill="D9EAF7"/>
          </w:tcPr>
          <w:p>
            <w:r>
              <w:t>Тест</w:t>
            </w:r>
          </w:p>
        </w:tc>
        <w:tc>
          <w:tcPr>
            <w:tcW w:type="dxa" w:w="2488"/>
            <w:shd w:fill="D9EAF7"/>
          </w:tcPr>
          <w:p>
            <w:r>
              <w:t>Сценарий</w:t>
            </w:r>
          </w:p>
        </w:tc>
        <w:tc>
          <w:tcPr>
            <w:tcW w:type="dxa" w:w="2488"/>
            <w:shd w:fill="D9EAF7"/>
          </w:tcPr>
          <w:p>
            <w:r>
              <w:t>Критерий прохождения</w:t>
            </w:r>
          </w:p>
        </w:tc>
        <w:tc>
          <w:tcPr>
            <w:tcW w:type="dxa" w:w="2488"/>
            <w:shd w:fill="D9EAF7"/>
          </w:tcPr>
          <w:p>
            <w:r>
              <w:t>Результат редакции 2.1</w:t>
            </w:r>
          </w:p>
        </w:tc>
      </w:tr>
      <w:tr>
        <w:tc>
          <w:tcPr>
            <w:tcW w:type="dxa" w:w="2488"/>
          </w:tcPr>
          <w:p>
            <w:r>
              <w:t>T-01</w:t>
            </w:r>
          </w:p>
        </w:tc>
        <w:tc>
          <w:tcPr>
            <w:tcW w:type="dxa" w:w="2488"/>
          </w:tcPr>
          <w:p>
            <w:r>
              <w:t>Пограничные кандидатские ответы</w:t>
            </w:r>
          </w:p>
        </w:tc>
        <w:tc>
          <w:tcPr>
            <w:tcW w:type="dxa" w:w="2488"/>
          </w:tcPr>
          <w:p>
            <w:r>
              <w:t>20 независимых проверяющих одинаково классифицируют счёт квоты без оценки политической ценности.</w:t>
            </w:r>
          </w:p>
        </w:tc>
        <w:tc>
          <w:tcPr>
            <w:tcW w:type="dxa" w:w="2488"/>
          </w:tcPr>
          <w:p>
            <w:r>
              <w:t>Пройдено: формальная грамматика отделена от политической оценки.</w:t>
            </w:r>
          </w:p>
        </w:tc>
      </w:tr>
      <w:tr>
        <w:tc>
          <w:tcPr>
            <w:tcW w:type="dxa" w:w="2488"/>
          </w:tcPr>
          <w:p>
            <w:r>
              <w:t>T-02</w:t>
            </w:r>
          </w:p>
        </w:tc>
        <w:tc>
          <w:tcPr>
            <w:tcW w:type="dxa" w:w="2488"/>
          </w:tcPr>
          <w:p>
            <w:r>
              <w:t>Несовместимый портфель</w:t>
            </w:r>
          </w:p>
        </w:tc>
        <w:tc>
          <w:tcPr>
            <w:tcW w:type="dxa" w:w="2488"/>
          </w:tcPr>
          <w:p>
            <w:r>
              <w:t>Ни один набор конфликтующих пунктов не создаёт одновременно активные обязанности и несправедливый знаменатель.</w:t>
            </w:r>
          </w:p>
        </w:tc>
        <w:tc>
          <w:tcPr>
            <w:tcW w:type="dxa" w:w="2488"/>
          </w:tcPr>
          <w:p>
            <w:r>
              <w:t>Пройдено: конфликтные группы и отдельный знаменатель исключают двойную обязанность.</w:t>
            </w:r>
          </w:p>
        </w:tc>
      </w:tr>
      <w:tr>
        <w:tc>
          <w:tcPr>
            <w:tcW w:type="dxa" w:w="2488"/>
          </w:tcPr>
          <w:p>
            <w:r>
              <w:t>T-03</w:t>
            </w:r>
          </w:p>
        </w:tc>
        <w:tc>
          <w:tcPr>
            <w:tcW w:type="dxa" w:w="2488"/>
          </w:tcPr>
          <w:p>
            <w:r>
              <w:t>Низкое участие</w:t>
            </w:r>
          </w:p>
        </w:tc>
        <w:tc>
          <w:tcPr>
            <w:tcW w:type="dxa" w:w="2488"/>
          </w:tcPr>
          <w:p>
            <w:r>
              <w:t>Результат автоматически получает более слабый статус; орган не может повысить его после подсчёта.</w:t>
            </w:r>
          </w:p>
        </w:tc>
        <w:tc>
          <w:tcPr>
            <w:tcW w:type="dxa" w:w="2488"/>
          </w:tcPr>
          <w:p>
            <w:r>
              <w:t>Пройдено: статус результата автоматически понижается при слабом участии.</w:t>
            </w:r>
          </w:p>
        </w:tc>
      </w:tr>
      <w:tr>
        <w:tc>
          <w:tcPr>
            <w:tcW w:type="dxa" w:w="2488"/>
          </w:tcPr>
          <w:p>
            <w:r>
              <w:t>T-04</w:t>
            </w:r>
          </w:p>
        </w:tc>
        <w:tc>
          <w:tcPr>
            <w:tcW w:type="dxa" w:w="2488"/>
          </w:tcPr>
          <w:p>
            <w:r>
              <w:t>Захваченный координатор</w:t>
            </w:r>
          </w:p>
        </w:tc>
        <w:tc>
          <w:tcPr>
            <w:tcW w:type="dxa" w:w="2488"/>
          </w:tcPr>
          <w:p>
            <w:r>
              <w:t>Ручная задержка или дефект публикации не удаляет объект без отдельного внешнего акта.</w:t>
            </w:r>
          </w:p>
        </w:tc>
        <w:tc>
          <w:tcPr>
            <w:tcW w:type="dxa" w:w="2488"/>
          </w:tcPr>
          <w:p>
            <w:r>
              <w:t>Пройдено: приём, валидация и отказ разделены; действует презумпция продолжения.</w:t>
            </w:r>
          </w:p>
        </w:tc>
      </w:tr>
      <w:tr>
        <w:tc>
          <w:tcPr>
            <w:tcW w:type="dxa" w:w="2488"/>
          </w:tcPr>
          <w:p>
            <w:r>
              <w:t>T-05</w:t>
            </w:r>
          </w:p>
        </w:tc>
        <w:tc>
          <w:tcPr>
            <w:tcW w:type="dxa" w:w="2488"/>
          </w:tcPr>
          <w:p>
            <w:r>
              <w:t>Насыщение лотерейного канала</w:t>
            </w:r>
          </w:p>
        </w:tc>
        <w:tc>
          <w:tcPr>
            <w:tcW w:type="dxa" w:w="2488"/>
          </w:tcPr>
          <w:p>
            <w:r>
              <w:t>Тысяча редакций одной цели не увеличивает её шанс относительно одного кластера.</w:t>
            </w:r>
          </w:p>
        </w:tc>
        <w:tc>
          <w:tcPr>
            <w:tcW w:type="dxa" w:w="2488"/>
          </w:tcPr>
          <w:p>
            <w:r>
              <w:t>Пройдено: один тематико-целевой кластер получает один лотерейный шанс.</w:t>
            </w:r>
          </w:p>
        </w:tc>
      </w:tr>
      <w:tr>
        <w:tc>
          <w:tcPr>
            <w:tcW w:type="dxa" w:w="2488"/>
          </w:tcPr>
          <w:p>
            <w:r>
              <w:t>T-06</w:t>
            </w:r>
          </w:p>
        </w:tc>
        <w:tc>
          <w:tcPr>
            <w:tcW w:type="dxa" w:w="2488"/>
          </w:tcPr>
          <w:p>
            <w:r>
              <w:t>Имитация меньшинства</w:t>
            </w:r>
          </w:p>
        </w:tc>
        <w:tc>
          <w:tcPr>
            <w:tcW w:type="dxa" w:w="2488"/>
          </w:tcPr>
          <w:p>
            <w:r>
              <w:t>Крупная организация не получает защищённое место без доказанного воздействия на права и системного барьера.</w:t>
            </w:r>
          </w:p>
        </w:tc>
        <w:tc>
          <w:tcPr>
            <w:tcW w:type="dxa" w:w="2488"/>
          </w:tcPr>
          <w:p>
            <w:r>
              <w:t>Пройдено: защищённый маршрут основан на воздействии на право, а не на реестре идентичностей.</w:t>
            </w:r>
          </w:p>
        </w:tc>
      </w:tr>
      <w:tr>
        <w:tc>
          <w:tcPr>
            <w:tcW w:type="dxa" w:w="2488"/>
          </w:tcPr>
          <w:p>
            <w:r>
              <w:t>T-07</w:t>
            </w:r>
          </w:p>
        </w:tc>
        <w:tc>
          <w:tcPr>
            <w:tcW w:type="dxa" w:w="2488"/>
          </w:tcPr>
          <w:p>
            <w:r>
              <w:t>Одновременный захват</w:t>
            </w:r>
          </w:p>
        </w:tc>
        <w:tc>
          <w:tcPr>
            <w:tcW w:type="dxa" w:w="2488"/>
          </w:tcPr>
          <w:p>
            <w:r>
              <w:t>При утрате минимального независимого контура система прекращает сертификацию, а не выдаёт деградированный мандат.</w:t>
            </w:r>
          </w:p>
        </w:tc>
        <w:tc>
          <w:tcPr>
            <w:tcW w:type="dxa" w:w="2488"/>
          </w:tcPr>
          <w:p>
            <w:r>
              <w:t>Пройдено: утрата кворума независимости прекращает сертификацию.</w:t>
            </w:r>
          </w:p>
        </w:tc>
      </w:tr>
      <w:tr>
        <w:tc>
          <w:tcPr>
            <w:tcW w:type="dxa" w:w="2488"/>
          </w:tcPr>
          <w:p>
            <w:r>
              <w:t>T-08</w:t>
            </w:r>
          </w:p>
        </w:tc>
        <w:tc>
          <w:tcPr>
            <w:tcW w:type="dxa" w:w="2488"/>
          </w:tcPr>
          <w:p>
            <w:r>
              <w:t>Цепочка чрезвычайности</w:t>
            </w:r>
          </w:p>
        </w:tc>
        <w:tc>
          <w:tcPr>
            <w:tcW w:type="dxa" w:w="2488"/>
          </w:tcPr>
          <w:p>
            <w:r>
              <w:t>Одно событие не может продлевать ограничения через смену юридического названия и органа.</w:t>
            </w:r>
          </w:p>
        </w:tc>
        <w:tc>
          <w:tcPr>
            <w:tcW w:type="dxa" w:w="2488"/>
          </w:tcPr>
          <w:p>
            <w:r>
              <w:t>Пройдено: единый чрезвычайный реестр и кумулятивный срок блокируют цепочку переименований.</w:t>
            </w:r>
          </w:p>
        </w:tc>
      </w:tr>
      <w:tr>
        <w:tc>
          <w:tcPr>
            <w:tcW w:type="dxa" w:w="2488"/>
          </w:tcPr>
          <w:p>
            <w:r>
              <w:t>T-09</w:t>
            </w:r>
          </w:p>
        </w:tc>
        <w:tc>
          <w:tcPr>
            <w:tcW w:type="dxa" w:w="2488"/>
          </w:tcPr>
          <w:p>
            <w:r>
              <w:t>Процедурные нарушения</w:t>
            </w:r>
          </w:p>
        </w:tc>
        <w:tc>
          <w:tcPr>
            <w:tcW w:type="dxa" w:w="2488"/>
          </w:tcPr>
          <w:p>
            <w:r>
              <w:t>Их совокупность не создаёт автоматического ограничения избирательных прав или официального рейтинга добросовестности.</w:t>
            </w:r>
          </w:p>
        </w:tc>
        <w:tc>
          <w:tcPr>
            <w:tcW w:type="dxa" w:w="2488"/>
          </w:tcPr>
          <w:p>
            <w:r>
              <w:t>Пройдено: последствия исчерпывающи и не переносятся автоматически в политические права.</w:t>
            </w:r>
          </w:p>
        </w:tc>
      </w:tr>
      <w:tr>
        <w:tc>
          <w:tcPr>
            <w:tcW w:type="dxa" w:w="2488"/>
          </w:tcPr>
          <w:p>
            <w:r>
              <w:t>T-10</w:t>
            </w:r>
          </w:p>
        </w:tc>
        <w:tc>
          <w:tcPr>
            <w:tcW w:type="dxa" w:w="2488"/>
          </w:tcPr>
          <w:p>
            <w:r>
              <w:t>Пилотная экстраполяция</w:t>
            </w:r>
          </w:p>
        </w:tc>
        <w:tc>
          <w:tcPr>
            <w:tcW w:type="dxa" w:w="2488"/>
          </w:tcPr>
          <w:p>
            <w:r>
              <w:t>Каждое усиленное полномочие масштабируется только после пилота именно этого полномочия.</w:t>
            </w:r>
          </w:p>
        </w:tc>
        <w:tc>
          <w:tcPr>
            <w:tcW w:type="dxa" w:w="2488"/>
          </w:tcPr>
          <w:p>
            <w:r>
              <w:t>Пройдено: ворота доказательств разделены по каждому усиленному полномочию.</w:t>
            </w:r>
          </w:p>
        </w:tc>
      </w:tr>
      <w:tr>
        <w:tc>
          <w:tcPr>
            <w:tcW w:type="dxa" w:w="2488"/>
          </w:tcPr>
          <w:p>
            <w:r>
              <w:t>T-11</w:t>
            </w:r>
          </w:p>
        </w:tc>
        <w:tc>
          <w:tcPr>
            <w:tcW w:type="dxa" w:w="2488"/>
          </w:tcPr>
          <w:p>
            <w:r>
              <w:t>Общая инфраструктура</w:t>
            </w:r>
          </w:p>
        </w:tc>
        <w:tc>
          <w:tcPr>
            <w:tcW w:type="dxa" w:w="2488"/>
          </w:tcPr>
          <w:p>
            <w:r>
              <w:t>Ни один поставщик или администратор не видит одновременно идентификационный, политический и аудиторский контуры.</w:t>
            </w:r>
          </w:p>
        </w:tc>
        <w:tc>
          <w:tcPr>
            <w:tcW w:type="dxa" w:w="2488"/>
          </w:tcPr>
          <w:p>
            <w:r>
              <w:t>Пройдено: карта инфраструктурной независимости исключает общего администратора критических контуров.</w:t>
            </w:r>
          </w:p>
        </w:tc>
      </w:tr>
      <w:tr>
        <w:tc>
          <w:tcPr>
            <w:tcW w:type="dxa" w:w="2488"/>
          </w:tcPr>
          <w:p>
            <w:r>
              <w:t>T-12</w:t>
            </w:r>
          </w:p>
        </w:tc>
        <w:tc>
          <w:tcPr>
            <w:tcW w:type="dxa" w:w="2488"/>
          </w:tcPr>
          <w:p>
            <w:r>
              <w:t>Перевод и доступность</w:t>
            </w:r>
          </w:p>
        </w:tc>
        <w:tc>
          <w:tcPr>
            <w:tcW w:type="dxa" w:w="2488"/>
          </w:tcPr>
          <w:p>
            <w:r>
              <w:t>Независимые языковые версии не создают статистически значимого различия в понимании правового эффекта.</w:t>
            </w:r>
          </w:p>
        </w:tc>
        <w:tc>
          <w:tcPr>
            <w:tcW w:type="dxa" w:w="2488"/>
          </w:tcPr>
          <w:p>
            <w:r>
              <w:t>Пройдено: установлен режим юридической эквивалентности переводов и доступных версий.</w:t>
            </w:r>
          </w:p>
        </w:tc>
      </w:tr>
    </w:tbl>
    <w:p>
      <w:pPr>
        <w:pStyle w:val="Heading2"/>
        <w:keepNext/>
        <w:widowControl/>
      </w:pPr>
      <w:r>
        <w:t>D.3. Итог повторной атаки</w:t>
      </w:r>
    </w:p>
    <w:p>
      <w:pPr>
        <w:pStyle w:val="ListBullet"/>
        <w:widowControl/>
      </w:pPr>
      <w:r>
        <w:t>новых фатальных противоречий, требующих изменения корневой идеи, не выявлено;</w:t>
      </w:r>
    </w:p>
    <w:p>
      <w:pPr>
        <w:pStyle w:val="ListBullet"/>
        <w:widowControl/>
      </w:pPr>
      <w:r>
        <w:t>самостоятельная юридическая сила общественного перечня, обязательство гарантированного результата и специальные политические санкции не восстановились в иной форме;</w:t>
      </w:r>
    </w:p>
    <w:p>
      <w:pPr>
        <w:pStyle w:val="ListBullet"/>
        <w:widowControl/>
      </w:pPr>
      <w:r>
        <w:t>скрытые центры власти ограничены несовместимостью функций, внешним актом отказа, замороженными правилами, публичными версиями и реальным обжалованием;</w:t>
      </w:r>
    </w:p>
    <w:p>
      <w:pPr>
        <w:pStyle w:val="ListBullet"/>
        <w:widowControl/>
      </w:pPr>
      <w:r>
        <w:t>цифровая безопасность и приватность сформулированы как проверяемые свойства и критерии отказа, а не как обещание абсолютной неуязвимости;</w:t>
      </w:r>
    </w:p>
    <w:p>
      <w:pPr>
        <w:pStyle w:val="ListBullet"/>
        <w:widowControl/>
      </w:pPr>
      <w:r>
        <w:t>переход к национальному режиму допустим только после отдельной конституционной экспертизы, финансового анализа, пилота и технической сертификации.</w:t>
      </w:r>
    </w:p>
    <w:p>
      <w:pPr>
        <w:widowControl/>
      </w:pPr>
      <w:r>
        <w:br w:type="page"/>
      </w:r>
    </w:p>
    <w:p>
      <w:pPr>
        <w:pStyle w:val="Heading1"/>
        <w:keepNext/>
        <w:pageBreakBefore/>
        <w:widowControl/>
      </w:pPr>
      <w:r>
        <w:t>Приложение E. Аудит концептуальной неизменности</w:t>
      </w:r>
    </w:p>
    <w:p>
      <w:pPr>
        <w:widowControl/>
      </w:pPr>
      <w:r>
        <w:rPr>
          <w:b w:val="0"/>
          <w:i w:val="0"/>
        </w:rPr>
        <w:t>Аудит проверяет, не были ли возражения устранены за счёт отказа от самой идеи Доктрины, превращения поручения в консультацию, передачи повестки государству либо лишения граждан реального влияния.</w:t>
      </w:r>
    </w:p>
    <w:p>
      <w:pPr>
        <w:pStyle w:val="Heading2"/>
        <w:keepNext/>
        <w:widowControl/>
      </w:pPr>
      <w:r>
        <w:t>E.1. Сквозной аудит ядра</w:t>
      </w:r>
    </w:p>
    <w:tbl>
      <w:tblPr>
        <w:tblW w:type="auto" w:w="0"/>
        <w:jc w:val="center"/>
        <w:tblLayout w:type="fixed"/>
        <w:tblLook w:firstColumn="1" w:firstRow="1" w:lastColumn="0" w:lastRow="0" w:noHBand="0" w:noVBand="1" w:val="04A0"/>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Grid>
        <w:gridCol w:w="3883"/>
        <w:gridCol w:w="3883"/>
        <w:gridCol w:w="3883"/>
        <w:gridCol w:w="3883"/>
      </w:tblGrid>
      <w:tr>
        <w:trPr>
          <w:tblHeader w:val="true"/>
        </w:trPr>
        <w:tc>
          <w:tcPr>
            <w:tcW w:type="dxa" w:w="2948"/>
            <w:shd w:fill="17365D"/>
            <w:tcMar>
              <w:top w:w="75" w:type="dxa"/>
              <w:start w:w="80" w:type="dxa"/>
              <w:bottom w:w="75" w:type="dxa"/>
              <w:end w:w="80" w:type="dxa"/>
            </w:tcMar>
            <w:vAlign w:val="center"/>
          </w:tcPr>
          <w:p>
            <w:pPr>
              <w:jc w:val="center"/>
            </w:pPr>
            <w:r>
              <w:rPr>
                <w:rFonts w:ascii="Arial" w:hAnsi="Arial" w:eastAsia="Arial"/>
                <w:b/>
                <w:i w:val="0"/>
                <w:color w:val="FFFFFF"/>
                <w:sz w:val="16"/>
              </w:rPr>
              <w:t>Проверяемый элемент</w:t>
            </w:r>
          </w:p>
        </w:tc>
        <w:tc>
          <w:tcPr>
            <w:tcW w:type="dxa" w:w="2041"/>
            <w:shd w:fill="17365D"/>
            <w:tcMar>
              <w:top w:w="75" w:type="dxa"/>
              <w:start w:w="80" w:type="dxa"/>
              <w:bottom w:w="75" w:type="dxa"/>
              <w:end w:w="80" w:type="dxa"/>
            </w:tcMar>
            <w:vAlign w:val="center"/>
          </w:tcPr>
          <w:p>
            <w:pPr>
              <w:jc w:val="center"/>
            </w:pPr>
            <w:r>
              <w:rPr>
                <w:rFonts w:ascii="Arial" w:hAnsi="Arial" w:eastAsia="Arial"/>
                <w:b/>
                <w:i w:val="0"/>
                <w:color w:val="FFFFFF"/>
                <w:sz w:val="16"/>
              </w:rPr>
              <w:t>Вердикт</w:t>
            </w:r>
          </w:p>
        </w:tc>
        <w:tc>
          <w:tcPr>
            <w:tcW w:type="dxa" w:w="6917"/>
            <w:shd w:fill="17365D"/>
            <w:tcMar>
              <w:top w:w="75" w:type="dxa"/>
              <w:start w:w="80" w:type="dxa"/>
              <w:bottom w:w="75" w:type="dxa"/>
              <w:end w:w="80" w:type="dxa"/>
            </w:tcMar>
            <w:vAlign w:val="center"/>
          </w:tcPr>
          <w:p>
            <w:pPr>
              <w:jc w:val="center"/>
            </w:pPr>
            <w:r>
              <w:rPr>
                <w:rFonts w:ascii="Arial" w:hAnsi="Arial" w:eastAsia="Arial"/>
                <w:b/>
                <w:i w:val="0"/>
                <w:color w:val="FFFFFF"/>
                <w:sz w:val="16"/>
              </w:rPr>
              <w:t>Доказательство сохранения</w:t>
            </w:r>
          </w:p>
        </w:tc>
        <w:tc>
          <w:tcPr>
            <w:tcW w:type="dxa" w:w="3231"/>
            <w:shd w:fill="17365D"/>
            <w:tcMar>
              <w:top w:w="75" w:type="dxa"/>
              <w:start w:w="80" w:type="dxa"/>
              <w:bottom w:w="75" w:type="dxa"/>
              <w:end w:w="80" w:type="dxa"/>
            </w:tcMar>
            <w:vAlign w:val="center"/>
          </w:tcPr>
          <w:p>
            <w:pPr>
              <w:jc w:val="center"/>
            </w:pPr>
            <w:r>
              <w:rPr>
                <w:rFonts w:ascii="Arial" w:hAnsi="Arial" w:eastAsia="Arial"/>
                <w:b/>
                <w:i w:val="0"/>
                <w:color w:val="FFFFFF"/>
                <w:sz w:val="16"/>
              </w:rPr>
              <w:t>Место</w:t>
            </w:r>
          </w:p>
        </w:tc>
      </w:tr>
      <w:tr>
        <w:trPr>
          <w:cantSplit w:val="true"/>
        </w:trPr>
        <w:tc>
          <w:tcPr>
            <w:tcW w:type="dxa" w:w="2948"/>
            <w:shd w:fill="FFFFFF"/>
            <w:tcMar>
              <w:top w:w="55" w:type="dxa"/>
              <w:start w:w="65" w:type="dxa"/>
              <w:bottom w:w="55" w:type="dxa"/>
              <w:end w:w="65" w:type="dxa"/>
            </w:tcMar>
            <w:vAlign w:val="top"/>
          </w:tcPr>
          <w:p>
            <w:pPr>
              <w:spacing w:after="0"/>
            </w:pPr>
            <w:r>
              <w:rPr>
                <w:rFonts w:ascii="Arial" w:hAnsi="Arial" w:eastAsia="Arial"/>
                <w:b/>
                <w:i w:val="0"/>
                <w:color w:val="1F1F1F"/>
                <w:sz w:val="16"/>
              </w:rPr>
              <w:t>Название и предмет</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w:t>
            </w:r>
          </w:p>
        </w:tc>
        <w:tc>
          <w:tcPr>
            <w:tcW w:type="dxa" w:w="6917"/>
            <w:shd w:fill="FFFFFF"/>
            <w:tcMar>
              <w:top w:w="55" w:type="dxa"/>
              <w:start w:w="65" w:type="dxa"/>
              <w:bottom w:w="55" w:type="dxa"/>
              <w:end w:w="65" w:type="dxa"/>
            </w:tcMar>
            <w:vAlign w:val="top"/>
          </w:tcPr>
          <w:p>
            <w:pPr>
              <w:spacing w:after="0"/>
            </w:pPr>
            <w:r>
              <w:rPr>
                <w:rFonts w:ascii="Arial" w:hAnsi="Arial" w:eastAsia="Arial"/>
                <w:b w:val="0"/>
                <w:i w:val="0"/>
                <w:color w:val="1F1F1F"/>
                <w:sz w:val="16"/>
              </w:rPr>
              <w:t>Название «Доктрина общественного поручения» и предмет полного цикла не изменены.</w:t>
            </w:r>
          </w:p>
        </w:tc>
        <w:tc>
          <w:tcPr>
            <w:tcW w:type="dxa" w:w="3231"/>
            <w:shd w:fill="FFFFFF"/>
            <w:tcMar>
              <w:top w:w="55" w:type="dxa"/>
              <w:start w:w="65" w:type="dxa"/>
              <w:bottom w:w="55" w:type="dxa"/>
              <w:end w:w="65" w:type="dxa"/>
            </w:tcMar>
            <w:vAlign w:val="top"/>
          </w:tcPr>
          <w:p>
            <w:pPr>
              <w:spacing w:after="0"/>
            </w:pPr>
            <w:r>
              <w:rPr>
                <w:rFonts w:ascii="Arial" w:hAnsi="Arial" w:eastAsia="Arial"/>
                <w:b w:val="0"/>
                <w:i w:val="0"/>
                <w:color w:val="1F1F1F"/>
                <w:sz w:val="16"/>
              </w:rPr>
              <w:t>Титул; гл. I–III</w:t>
            </w:r>
          </w:p>
        </w:tc>
      </w:tr>
      <w:tr>
        <w:trPr>
          <w:cantSplit w:val="true"/>
        </w:trPr>
        <w:tc>
          <w:tcPr>
            <w:tcW w:type="dxa" w:w="2948"/>
            <w:shd w:fill="EEF4F9"/>
            <w:tcMar>
              <w:top w:w="55" w:type="dxa"/>
              <w:start w:w="65" w:type="dxa"/>
              <w:bottom w:w="55" w:type="dxa"/>
              <w:end w:w="65" w:type="dxa"/>
            </w:tcMar>
            <w:vAlign w:val="top"/>
          </w:tcPr>
          <w:p>
            <w:pPr>
              <w:spacing w:after="0"/>
            </w:pPr>
            <w:r>
              <w:rPr>
                <w:rFonts w:ascii="Arial" w:hAnsi="Arial" w:eastAsia="Arial"/>
                <w:b/>
                <w:i w:val="0"/>
                <w:color w:val="1F1F1F"/>
                <w:sz w:val="16"/>
              </w:rPr>
              <w:t>Корневая идея</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w:t>
            </w:r>
          </w:p>
        </w:tc>
        <w:tc>
          <w:tcPr>
            <w:tcW w:type="dxa" w:w="6917"/>
            <w:shd w:fill="EEF4F9"/>
            <w:tcMar>
              <w:top w:w="55" w:type="dxa"/>
              <w:start w:w="65" w:type="dxa"/>
              <w:bottom w:w="55" w:type="dxa"/>
              <w:end w:w="65" w:type="dxa"/>
            </w:tcMar>
            <w:vAlign w:val="top"/>
          </w:tcPr>
          <w:p>
            <w:pPr>
              <w:spacing w:after="0"/>
            </w:pPr>
            <w:r>
              <w:rPr>
                <w:rFonts w:ascii="Arial" w:hAnsi="Arial" w:eastAsia="Arial"/>
                <w:b w:val="0"/>
                <w:i w:val="0"/>
                <w:color w:val="1F1F1F"/>
                <w:sz w:val="16"/>
              </w:rPr>
              <w:t>Общество определяет цели; государство определяет способы; ответственность разделена; результат общий.</w:t>
            </w:r>
          </w:p>
        </w:tc>
        <w:tc>
          <w:tcPr>
            <w:tcW w:type="dxa" w:w="3231"/>
            <w:shd w:fill="EEF4F9"/>
            <w:tcMar>
              <w:top w:w="55" w:type="dxa"/>
              <w:start w:w="65" w:type="dxa"/>
              <w:bottom w:w="55" w:type="dxa"/>
              <w:end w:w="65" w:type="dxa"/>
            </w:tcMar>
            <w:vAlign w:val="top"/>
          </w:tcPr>
          <w:p>
            <w:pPr>
              <w:spacing w:after="0"/>
            </w:pPr>
            <w:r>
              <w:rPr>
                <w:rFonts w:ascii="Arial" w:hAnsi="Arial" w:eastAsia="Arial"/>
                <w:b w:val="0"/>
                <w:i w:val="0"/>
                <w:color w:val="1F1F1F"/>
                <w:sz w:val="16"/>
              </w:rPr>
              <w:t>Статус редакции; гл. I §4; III; IV</w:t>
            </w:r>
          </w:p>
        </w:tc>
      </w:tr>
      <w:tr>
        <w:trPr>
          <w:cantSplit w:val="true"/>
        </w:trPr>
        <w:tc>
          <w:tcPr>
            <w:tcW w:type="dxa" w:w="2948"/>
            <w:shd w:fill="FFFFFF"/>
            <w:tcMar>
              <w:top w:w="55" w:type="dxa"/>
              <w:start w:w="65" w:type="dxa"/>
              <w:bottom w:w="55" w:type="dxa"/>
              <w:end w:w="65" w:type="dxa"/>
            </w:tcMar>
            <w:vAlign w:val="top"/>
          </w:tcPr>
          <w:p>
            <w:pPr>
              <w:spacing w:after="0"/>
            </w:pPr>
            <w:r>
              <w:rPr>
                <w:rFonts w:ascii="Arial" w:hAnsi="Arial" w:eastAsia="Arial"/>
                <w:b/>
                <w:i w:val="0"/>
                <w:color w:val="1F1F1F"/>
                <w:sz w:val="16"/>
              </w:rPr>
              <w:t>Общественное происхождение</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 и усилено</w:t>
            </w:r>
          </w:p>
        </w:tc>
        <w:tc>
          <w:tcPr>
            <w:tcW w:type="dxa" w:w="6917"/>
            <w:shd w:fill="FFFFFF"/>
            <w:tcMar>
              <w:top w:w="55" w:type="dxa"/>
              <w:start w:w="65" w:type="dxa"/>
              <w:bottom w:w="55" w:type="dxa"/>
              <w:end w:w="65" w:type="dxa"/>
            </w:tcMar>
            <w:vAlign w:val="top"/>
          </w:tcPr>
          <w:p>
            <w:pPr>
              <w:spacing w:after="0"/>
            </w:pPr>
            <w:r>
              <w:rPr>
                <w:rFonts w:ascii="Arial" w:hAnsi="Arial" w:eastAsia="Arial"/>
                <w:b w:val="0"/>
                <w:i w:val="0"/>
                <w:color w:val="1F1F1F"/>
                <w:sz w:val="16"/>
              </w:rPr>
              <w:t>Инициатива, поддержка, обсуждение и финальное голосование исходят от граждан; государство не получает право формировать содержание.</w:t>
            </w:r>
          </w:p>
        </w:tc>
        <w:tc>
          <w:tcPr>
            <w:tcW w:type="dxa" w:w="3231"/>
            <w:shd w:fill="FFFFFF"/>
            <w:tcMar>
              <w:top w:w="55" w:type="dxa"/>
              <w:start w:w="65" w:type="dxa"/>
              <w:bottom w:w="55" w:type="dxa"/>
              <w:end w:w="65" w:type="dxa"/>
            </w:tcMar>
            <w:vAlign w:val="top"/>
          </w:tcPr>
          <w:p>
            <w:pPr>
              <w:spacing w:after="0"/>
            </w:pPr>
            <w:r>
              <w:rPr>
                <w:rFonts w:ascii="Arial" w:hAnsi="Arial" w:eastAsia="Arial"/>
                <w:b w:val="0"/>
                <w:i w:val="0"/>
                <w:color w:val="1F1F1F"/>
                <w:sz w:val="16"/>
              </w:rPr>
              <w:t>Гл. IV §4; X–XVIII</w:t>
            </w:r>
          </w:p>
        </w:tc>
      </w:tr>
      <w:tr>
        <w:trPr>
          <w:cantSplit w:val="true"/>
        </w:trPr>
        <w:tc>
          <w:tcPr>
            <w:tcW w:type="dxa" w:w="2948"/>
            <w:shd w:fill="EEF4F9"/>
            <w:tcMar>
              <w:top w:w="55" w:type="dxa"/>
              <w:start w:w="65" w:type="dxa"/>
              <w:bottom w:w="55" w:type="dxa"/>
              <w:end w:w="65" w:type="dxa"/>
            </w:tcMar>
            <w:vAlign w:val="top"/>
          </w:tcPr>
          <w:p>
            <w:pPr>
              <w:spacing w:after="0"/>
            </w:pPr>
            <w:r>
              <w:rPr>
                <w:rFonts w:ascii="Arial" w:hAnsi="Arial" w:eastAsia="Arial"/>
                <w:b/>
                <w:i w:val="0"/>
                <w:color w:val="1F1F1F"/>
                <w:sz w:val="16"/>
              </w:rPr>
              <w:t>Движение снизу вверх</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w:t>
            </w:r>
          </w:p>
        </w:tc>
        <w:tc>
          <w:tcPr>
            <w:tcW w:type="dxa" w:w="6917"/>
            <w:shd w:fill="EEF4F9"/>
            <w:tcMar>
              <w:top w:w="55" w:type="dxa"/>
              <w:start w:w="65" w:type="dxa"/>
              <w:bottom w:w="55" w:type="dxa"/>
              <w:end w:w="65" w:type="dxa"/>
            </w:tcMar>
            <w:vAlign w:val="top"/>
          </w:tcPr>
          <w:p>
            <w:pPr>
              <w:spacing w:after="0"/>
            </w:pPr>
            <w:r>
              <w:rPr>
                <w:rFonts w:ascii="Arial" w:hAnsi="Arial" w:eastAsia="Arial"/>
                <w:b w:val="0"/>
                <w:i w:val="0"/>
                <w:color w:val="1F1F1F"/>
                <w:sz w:val="16"/>
              </w:rPr>
              <w:t>Регистрация начинается с гражданской инициативы; профессиональные контуры только помогают, раскрывают последствия и проверяют узкую законность.</w:t>
            </w:r>
          </w:p>
        </w:tc>
        <w:tc>
          <w:tcPr>
            <w:tcW w:type="dxa" w:w="3231"/>
            <w:shd w:fill="EEF4F9"/>
            <w:tcMar>
              <w:top w:w="55" w:type="dxa"/>
              <w:start w:w="65" w:type="dxa"/>
              <w:bottom w:w="55" w:type="dxa"/>
              <w:end w:w="65" w:type="dxa"/>
            </w:tcMar>
            <w:vAlign w:val="top"/>
          </w:tcPr>
          <w:p>
            <w:pPr>
              <w:spacing w:after="0"/>
            </w:pPr>
            <w:r>
              <w:rPr>
                <w:rFonts w:ascii="Arial" w:hAnsi="Arial" w:eastAsia="Arial"/>
                <w:b w:val="0"/>
                <w:i w:val="0"/>
                <w:color w:val="1F1F1F"/>
                <w:sz w:val="16"/>
              </w:rPr>
              <w:t>Гл. X–XVII</w:t>
            </w:r>
          </w:p>
        </w:tc>
      </w:tr>
      <w:tr>
        <w:trPr>
          <w:cantSplit w:val="true"/>
        </w:trPr>
        <w:tc>
          <w:tcPr>
            <w:tcW w:type="dxa" w:w="2948"/>
            <w:shd w:fill="FFFFFF"/>
            <w:tcMar>
              <w:top w:w="55" w:type="dxa"/>
              <w:start w:w="65" w:type="dxa"/>
              <w:bottom w:w="55" w:type="dxa"/>
              <w:end w:w="65" w:type="dxa"/>
            </w:tcMar>
            <w:vAlign w:val="top"/>
          </w:tcPr>
          <w:p>
            <w:pPr>
              <w:spacing w:after="0"/>
            </w:pPr>
            <w:r>
              <w:rPr>
                <w:rFonts w:ascii="Arial" w:hAnsi="Arial" w:eastAsia="Arial"/>
                <w:b/>
                <w:i w:val="0"/>
                <w:color w:val="1F1F1F"/>
                <w:sz w:val="16"/>
              </w:rPr>
              <w:t>Обязательное публичное отношение кандидатов</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w:t>
            </w:r>
          </w:p>
        </w:tc>
        <w:tc>
          <w:tcPr>
            <w:tcW w:type="dxa" w:w="6917"/>
            <w:shd w:fill="FFFFFF"/>
            <w:tcMar>
              <w:top w:w="55" w:type="dxa"/>
              <w:start w:w="65" w:type="dxa"/>
              <w:bottom w:w="55" w:type="dxa"/>
              <w:end w:w="65" w:type="dxa"/>
            </w:tcMar>
            <w:vAlign w:val="top"/>
          </w:tcPr>
          <w:p>
            <w:pPr>
              <w:spacing w:after="0"/>
            </w:pPr>
            <w:r>
              <w:rPr>
                <w:rFonts w:ascii="Arial" w:hAnsi="Arial" w:eastAsia="Arial"/>
                <w:b w:val="0"/>
                <w:i w:val="0"/>
                <w:color w:val="1F1F1F"/>
                <w:sz w:val="16"/>
              </w:rPr>
              <w:t>Декларация кандидата остаётся центральным юридически значимым актом; национальный режим должен быть соразмерен избирательным правам.</w:t>
            </w:r>
          </w:p>
        </w:tc>
        <w:tc>
          <w:tcPr>
            <w:tcW w:type="dxa" w:w="3231"/>
            <w:shd w:fill="FFFFFF"/>
            <w:tcMar>
              <w:top w:w="55" w:type="dxa"/>
              <w:start w:w="65" w:type="dxa"/>
              <w:bottom w:w="55" w:type="dxa"/>
              <w:end w:w="65" w:type="dxa"/>
            </w:tcMar>
            <w:vAlign w:val="top"/>
          </w:tcPr>
          <w:p>
            <w:pPr>
              <w:spacing w:after="0"/>
            </w:pPr>
            <w:r>
              <w:rPr>
                <w:rFonts w:ascii="Arial" w:hAnsi="Arial" w:eastAsia="Arial"/>
                <w:b w:val="0"/>
                <w:i w:val="0"/>
                <w:color w:val="1F1F1F"/>
                <w:sz w:val="16"/>
              </w:rPr>
              <w:t>Гл. V §4; XX; XXXII §8</w:t>
            </w:r>
          </w:p>
        </w:tc>
      </w:tr>
      <w:tr>
        <w:trPr>
          <w:cantSplit w:val="true"/>
        </w:trPr>
        <w:tc>
          <w:tcPr>
            <w:tcW w:type="dxa" w:w="2948"/>
            <w:shd w:fill="EEF4F9"/>
            <w:tcMar>
              <w:top w:w="55" w:type="dxa"/>
              <w:start w:w="65" w:type="dxa"/>
              <w:bottom w:w="55" w:type="dxa"/>
              <w:end w:w="65" w:type="dxa"/>
            </w:tcMar>
            <w:vAlign w:val="top"/>
          </w:tcPr>
          <w:p>
            <w:pPr>
              <w:spacing w:after="0"/>
            </w:pPr>
            <w:r>
              <w:rPr>
                <w:rFonts w:ascii="Arial" w:hAnsi="Arial" w:eastAsia="Arial"/>
                <w:b/>
                <w:i w:val="0"/>
                <w:color w:val="1F1F1F"/>
                <w:sz w:val="16"/>
              </w:rPr>
              <w:t>Мотивированное непринятие части пунктов</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w:t>
            </w:r>
          </w:p>
        </w:tc>
        <w:tc>
          <w:tcPr>
            <w:tcW w:type="dxa" w:w="6917"/>
            <w:shd w:fill="EEF4F9"/>
            <w:tcMar>
              <w:top w:w="55" w:type="dxa"/>
              <w:start w:w="65" w:type="dxa"/>
              <w:bottom w:w="55" w:type="dxa"/>
              <w:end w:w="65" w:type="dxa"/>
            </w:tcMar>
            <w:vAlign w:val="top"/>
          </w:tcPr>
          <w:p>
            <w:pPr>
              <w:spacing w:after="0"/>
            </w:pPr>
            <w:r>
              <w:rPr>
                <w:rFonts w:ascii="Arial" w:hAnsi="Arial" w:eastAsia="Arial"/>
                <w:b w:val="0"/>
                <w:i w:val="0"/>
                <w:color w:val="1F1F1F"/>
                <w:sz w:val="16"/>
              </w:rPr>
              <w:t>Сохраняются формы принятия, объективного условия, альтернативы, мотивированного отказа и ограниченный предел непринятия.</w:t>
            </w:r>
          </w:p>
        </w:tc>
        <w:tc>
          <w:tcPr>
            <w:tcW w:type="dxa" w:w="3231"/>
            <w:shd w:fill="EEF4F9"/>
            <w:tcMar>
              <w:top w:w="55" w:type="dxa"/>
              <w:start w:w="65" w:type="dxa"/>
              <w:bottom w:w="55" w:type="dxa"/>
              <w:end w:w="65" w:type="dxa"/>
            </w:tcMar>
            <w:vAlign w:val="top"/>
          </w:tcPr>
          <w:p>
            <w:pPr>
              <w:spacing w:after="0"/>
            </w:pPr>
            <w:r>
              <w:rPr>
                <w:rFonts w:ascii="Arial" w:hAnsi="Arial" w:eastAsia="Arial"/>
                <w:b w:val="0"/>
                <w:i w:val="0"/>
                <w:color w:val="1F1F1F"/>
                <w:sz w:val="16"/>
              </w:rPr>
              <w:t>Гл. XX §§7–13</w:t>
            </w:r>
          </w:p>
        </w:tc>
      </w:tr>
      <w:tr>
        <w:trPr>
          <w:cantSplit w:val="true"/>
        </w:trPr>
        <w:tc>
          <w:tcPr>
            <w:tcW w:type="dxa" w:w="2948"/>
            <w:shd w:fill="FFFFFF"/>
            <w:tcMar>
              <w:top w:w="55" w:type="dxa"/>
              <w:start w:w="65" w:type="dxa"/>
              <w:bottom w:w="55" w:type="dxa"/>
              <w:end w:w="65" w:type="dxa"/>
            </w:tcMar>
            <w:vAlign w:val="top"/>
          </w:tcPr>
          <w:p>
            <w:pPr>
              <w:spacing w:after="0"/>
            </w:pPr>
            <w:r>
              <w:rPr>
                <w:rFonts w:ascii="Arial" w:hAnsi="Arial" w:eastAsia="Arial"/>
                <w:b/>
                <w:i w:val="0"/>
                <w:color w:val="1F1F1F"/>
                <w:sz w:val="16"/>
              </w:rPr>
              <w:t>Сопоставление кандидатов</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 и усилено</w:t>
            </w:r>
          </w:p>
        </w:tc>
        <w:tc>
          <w:tcPr>
            <w:tcW w:type="dxa" w:w="6917"/>
            <w:shd w:fill="FFFFFF"/>
            <w:tcMar>
              <w:top w:w="55" w:type="dxa"/>
              <w:start w:w="65" w:type="dxa"/>
              <w:bottom w:w="55" w:type="dxa"/>
              <w:end w:w="65" w:type="dxa"/>
            </w:tcMar>
            <w:vAlign w:val="top"/>
          </w:tcPr>
          <w:p>
            <w:pPr>
              <w:spacing w:after="0"/>
            </w:pPr>
            <w:r>
              <w:rPr>
                <w:rFonts w:ascii="Arial" w:hAnsi="Arial" w:eastAsia="Arial"/>
                <w:b w:val="0"/>
                <w:i w:val="0"/>
                <w:color w:val="1F1F1F"/>
                <w:sz w:val="16"/>
              </w:rPr>
              <w:t>Единая карточка и сопоставимая матрица сохранены; исключены агрегированный балл и манипулятивное официальное толкование.</w:t>
            </w:r>
          </w:p>
        </w:tc>
        <w:tc>
          <w:tcPr>
            <w:tcW w:type="dxa" w:w="3231"/>
            <w:shd w:fill="FFFFFF"/>
            <w:tcMar>
              <w:top w:w="55" w:type="dxa"/>
              <w:start w:w="65" w:type="dxa"/>
              <w:bottom w:w="55" w:type="dxa"/>
              <w:end w:w="65" w:type="dxa"/>
            </w:tcMar>
            <w:vAlign w:val="top"/>
          </w:tcPr>
          <w:p>
            <w:pPr>
              <w:spacing w:after="0"/>
            </w:pPr>
            <w:r>
              <w:rPr>
                <w:rFonts w:ascii="Arial" w:hAnsi="Arial" w:eastAsia="Arial"/>
                <w:b w:val="0"/>
                <w:i w:val="0"/>
                <w:color w:val="1F1F1F"/>
                <w:sz w:val="16"/>
              </w:rPr>
              <w:t>Гл. XXI–XXII</w:t>
            </w:r>
          </w:p>
        </w:tc>
      </w:tr>
      <w:tr>
        <w:trPr>
          <w:cantSplit w:val="true"/>
        </w:trPr>
        <w:tc>
          <w:tcPr>
            <w:tcW w:type="dxa" w:w="2948"/>
            <w:shd w:fill="EEF4F9"/>
            <w:tcMar>
              <w:top w:w="55" w:type="dxa"/>
              <w:start w:w="65" w:type="dxa"/>
              <w:bottom w:w="55" w:type="dxa"/>
              <w:end w:w="65" w:type="dxa"/>
            </w:tcMar>
            <w:vAlign w:val="top"/>
          </w:tcPr>
          <w:p>
            <w:pPr>
              <w:spacing w:after="0"/>
            </w:pPr>
            <w:r>
              <w:rPr>
                <w:rFonts w:ascii="Arial" w:hAnsi="Arial" w:eastAsia="Arial"/>
                <w:b/>
                <w:i w:val="0"/>
                <w:color w:val="1F1F1F"/>
                <w:sz w:val="16"/>
              </w:rPr>
              <w:t>Послевыборная подотчётность</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 и усилено</w:t>
            </w:r>
          </w:p>
        </w:tc>
        <w:tc>
          <w:tcPr>
            <w:tcW w:type="dxa" w:w="6917"/>
            <w:shd w:fill="EEF4F9"/>
            <w:tcMar>
              <w:top w:w="55" w:type="dxa"/>
              <w:start w:w="65" w:type="dxa"/>
              <w:bottom w:w="55" w:type="dxa"/>
              <w:end w:w="65" w:type="dxa"/>
            </w:tcMar>
            <w:vAlign w:val="top"/>
          </w:tcPr>
          <w:p>
            <w:pPr>
              <w:spacing w:after="0"/>
            </w:pPr>
            <w:r>
              <w:rPr>
                <w:rFonts w:ascii="Arial" w:hAnsi="Arial" w:eastAsia="Arial"/>
                <w:b w:val="0"/>
                <w:i w:val="0"/>
                <w:color w:val="1F1F1F"/>
                <w:sz w:val="16"/>
              </w:rPr>
              <w:t>Принятые положения входят в реестр; обязательны план, данные, объяснение изменений, промежуточная и итоговая оценка.</w:t>
            </w:r>
          </w:p>
        </w:tc>
        <w:tc>
          <w:tcPr>
            <w:tcW w:type="dxa" w:w="3231"/>
            <w:shd w:fill="EEF4F9"/>
            <w:tcMar>
              <w:top w:w="55" w:type="dxa"/>
              <w:start w:w="65" w:type="dxa"/>
              <w:bottom w:w="55" w:type="dxa"/>
              <w:end w:w="65" w:type="dxa"/>
            </w:tcMar>
            <w:vAlign w:val="top"/>
          </w:tcPr>
          <w:p>
            <w:pPr>
              <w:spacing w:after="0"/>
            </w:pPr>
            <w:r>
              <w:rPr>
                <w:rFonts w:ascii="Arial" w:hAnsi="Arial" w:eastAsia="Arial"/>
                <w:b w:val="0"/>
                <w:i w:val="0"/>
                <w:color w:val="1F1F1F"/>
                <w:sz w:val="16"/>
              </w:rPr>
              <w:t>Гл. XXIII–XXIX</w:t>
            </w:r>
          </w:p>
        </w:tc>
      </w:tr>
      <w:tr>
        <w:trPr>
          <w:cantSplit w:val="true"/>
        </w:trPr>
        <w:tc>
          <w:tcPr>
            <w:tcW w:type="dxa" w:w="2948"/>
            <w:shd w:fill="FFFFFF"/>
            <w:tcMar>
              <w:top w:w="55" w:type="dxa"/>
              <w:start w:w="65" w:type="dxa"/>
              <w:bottom w:w="55" w:type="dxa"/>
              <w:end w:w="65" w:type="dxa"/>
            </w:tcMar>
            <w:vAlign w:val="top"/>
          </w:tcPr>
          <w:p>
            <w:pPr>
              <w:spacing w:after="0"/>
            </w:pPr>
            <w:r>
              <w:rPr>
                <w:rFonts w:ascii="Arial" w:hAnsi="Arial" w:eastAsia="Arial"/>
                <w:b/>
                <w:i w:val="0"/>
                <w:color w:val="1F1F1F"/>
                <w:sz w:val="16"/>
              </w:rPr>
              <w:t>Реальная обязательность</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 в правово устойчивой форме</w:t>
            </w:r>
          </w:p>
        </w:tc>
        <w:tc>
          <w:tcPr>
            <w:tcW w:type="dxa" w:w="6917"/>
            <w:shd w:fill="FFFFFF"/>
            <w:tcMar>
              <w:top w:w="55" w:type="dxa"/>
              <w:start w:w="65" w:type="dxa"/>
              <w:bottom w:w="55" w:type="dxa"/>
              <w:end w:w="65" w:type="dxa"/>
            </w:tcMar>
            <w:vAlign w:val="top"/>
          </w:tcPr>
          <w:p>
            <w:pPr>
              <w:spacing w:after="0"/>
            </w:pPr>
            <w:r>
              <w:rPr>
                <w:rFonts w:ascii="Arial" w:hAnsi="Arial" w:eastAsia="Arial"/>
                <w:b w:val="0"/>
                <w:i w:val="0"/>
                <w:color w:val="1F1F1F"/>
                <w:sz w:val="16"/>
              </w:rPr>
              <w:t>Исключена обязанность гарантировать неподконтрольный результат, но сохранены юридически проверяемые действия собственной компетенции и политическая ответственность за результат.</w:t>
            </w:r>
          </w:p>
        </w:tc>
        <w:tc>
          <w:tcPr>
            <w:tcW w:type="dxa" w:w="3231"/>
            <w:shd w:fill="FFFFFF"/>
            <w:tcMar>
              <w:top w:w="55" w:type="dxa"/>
              <w:start w:w="65" w:type="dxa"/>
              <w:bottom w:w="55" w:type="dxa"/>
              <w:end w:w="65" w:type="dxa"/>
            </w:tcMar>
            <w:vAlign w:val="top"/>
          </w:tcPr>
          <w:p>
            <w:pPr>
              <w:spacing w:after="0"/>
            </w:pPr>
            <w:r>
              <w:rPr>
                <w:rFonts w:ascii="Arial" w:hAnsi="Arial" w:eastAsia="Arial"/>
                <w:b w:val="0"/>
                <w:i w:val="0"/>
                <w:color w:val="1F1F1F"/>
                <w:sz w:val="16"/>
              </w:rPr>
              <w:t>Гл. V; XXIII–XXIX</w:t>
            </w:r>
          </w:p>
        </w:tc>
      </w:tr>
      <w:tr>
        <w:trPr>
          <w:cantSplit w:val="true"/>
        </w:trPr>
        <w:tc>
          <w:tcPr>
            <w:tcW w:type="dxa" w:w="2948"/>
            <w:shd w:fill="EEF4F9"/>
            <w:tcMar>
              <w:top w:w="55" w:type="dxa"/>
              <w:start w:w="65" w:type="dxa"/>
              <w:bottom w:w="55" w:type="dxa"/>
              <w:end w:w="65" w:type="dxa"/>
            </w:tcMar>
            <w:vAlign w:val="top"/>
          </w:tcPr>
          <w:p>
            <w:pPr>
              <w:spacing w:after="0"/>
            </w:pPr>
            <w:r>
              <w:rPr>
                <w:rFonts w:ascii="Arial" w:hAnsi="Arial" w:eastAsia="Arial"/>
                <w:b/>
                <w:i w:val="0"/>
                <w:color w:val="1F1F1F"/>
                <w:sz w:val="16"/>
              </w:rPr>
              <w:t>Независимость от текущей власти</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 и усилено</w:t>
            </w:r>
          </w:p>
        </w:tc>
        <w:tc>
          <w:tcPr>
            <w:tcW w:type="dxa" w:w="6917"/>
            <w:shd w:fill="EEF4F9"/>
            <w:tcMar>
              <w:top w:w="55" w:type="dxa"/>
              <w:start w:w="65" w:type="dxa"/>
              <w:bottom w:w="55" w:type="dxa"/>
              <w:end w:w="65" w:type="dxa"/>
            </w:tcMar>
            <w:vAlign w:val="top"/>
          </w:tcPr>
          <w:p>
            <w:pPr>
              <w:spacing w:after="0"/>
            </w:pPr>
            <w:r>
              <w:rPr>
                <w:rFonts w:ascii="Arial" w:hAnsi="Arial" w:eastAsia="Arial"/>
                <w:b w:val="0"/>
                <w:i w:val="0"/>
                <w:color w:val="1F1F1F"/>
                <w:sz w:val="16"/>
              </w:rPr>
              <w:t>Существующие конституционные органы, временные панели, разделение функций, аудит, отвод и тест одновременного захвата.</w:t>
            </w:r>
          </w:p>
        </w:tc>
        <w:tc>
          <w:tcPr>
            <w:tcW w:type="dxa" w:w="3231"/>
            <w:shd w:fill="EEF4F9"/>
            <w:tcMar>
              <w:top w:w="55" w:type="dxa"/>
              <w:start w:w="65" w:type="dxa"/>
              <w:bottom w:w="55" w:type="dxa"/>
              <w:end w:w="65" w:type="dxa"/>
            </w:tcMar>
            <w:vAlign w:val="top"/>
          </w:tcPr>
          <w:p>
            <w:pPr>
              <w:spacing w:after="0"/>
            </w:pPr>
            <w:r>
              <w:rPr>
                <w:rFonts w:ascii="Arial" w:hAnsi="Arial" w:eastAsia="Arial"/>
                <w:b w:val="0"/>
                <w:i w:val="0"/>
                <w:color w:val="1F1F1F"/>
                <w:sz w:val="16"/>
              </w:rPr>
              <w:t>Гл. VII–IX, XXXIV</w:t>
            </w:r>
          </w:p>
        </w:tc>
      </w:tr>
      <w:tr>
        <w:trPr>
          <w:cantSplit w:val="true"/>
        </w:trPr>
        <w:tc>
          <w:tcPr>
            <w:tcW w:type="dxa" w:w="2948"/>
            <w:shd w:fill="FFFFFF"/>
            <w:tcMar>
              <w:top w:w="55" w:type="dxa"/>
              <w:start w:w="65" w:type="dxa"/>
              <w:bottom w:w="55" w:type="dxa"/>
              <w:end w:w="65" w:type="dxa"/>
            </w:tcMar>
            <w:vAlign w:val="top"/>
          </w:tcPr>
          <w:p>
            <w:pPr>
              <w:spacing w:after="0"/>
            </w:pPr>
            <w:r>
              <w:rPr>
                <w:rFonts w:ascii="Arial" w:hAnsi="Arial" w:eastAsia="Arial"/>
                <w:b/>
                <w:i w:val="0"/>
                <w:color w:val="1F1F1F"/>
                <w:sz w:val="16"/>
              </w:rPr>
              <w:t>Цифровые и недигитальные каналы</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w:t>
            </w:r>
          </w:p>
        </w:tc>
        <w:tc>
          <w:tcPr>
            <w:tcW w:type="dxa" w:w="6917"/>
            <w:shd w:fill="FFFFFF"/>
            <w:tcMar>
              <w:top w:w="55" w:type="dxa"/>
              <w:start w:w="65" w:type="dxa"/>
              <w:bottom w:w="55" w:type="dxa"/>
              <w:end w:w="65" w:type="dxa"/>
            </w:tcMar>
            <w:vAlign w:val="top"/>
          </w:tcPr>
          <w:p>
            <w:pPr>
              <w:spacing w:after="0"/>
            </w:pPr>
            <w:r>
              <w:rPr>
                <w:rFonts w:ascii="Arial" w:hAnsi="Arial" w:eastAsia="Arial"/>
                <w:b w:val="0"/>
                <w:i w:val="0"/>
                <w:color w:val="1F1F1F"/>
                <w:sz w:val="16"/>
              </w:rPr>
              <w:t>Цифровой канал дополняет очный и бумажный; равенство оценивается фактически, а не формально.</w:t>
            </w:r>
          </w:p>
        </w:tc>
        <w:tc>
          <w:tcPr>
            <w:tcW w:type="dxa" w:w="3231"/>
            <w:shd w:fill="FFFFFF"/>
            <w:tcMar>
              <w:top w:w="55" w:type="dxa"/>
              <w:start w:w="65" w:type="dxa"/>
              <w:bottom w:w="55" w:type="dxa"/>
              <w:end w:w="65" w:type="dxa"/>
            </w:tcMar>
            <w:vAlign w:val="top"/>
          </w:tcPr>
          <w:p>
            <w:pPr>
              <w:spacing w:after="0"/>
            </w:pPr>
            <w:r>
              <w:rPr>
                <w:rFonts w:ascii="Arial" w:hAnsi="Arial" w:eastAsia="Arial"/>
                <w:b w:val="0"/>
                <w:i w:val="0"/>
                <w:color w:val="1F1F1F"/>
                <w:sz w:val="16"/>
              </w:rPr>
              <w:t>Гл. XI, XVIII, XXXI, XXXVI</w:t>
            </w:r>
          </w:p>
        </w:tc>
      </w:tr>
      <w:tr>
        <w:trPr>
          <w:cantSplit w:val="true"/>
        </w:trPr>
        <w:tc>
          <w:tcPr>
            <w:tcW w:type="dxa" w:w="2948"/>
            <w:shd w:fill="EEF4F9"/>
            <w:tcMar>
              <w:top w:w="55" w:type="dxa"/>
              <w:start w:w="65" w:type="dxa"/>
              <w:bottom w:w="55" w:type="dxa"/>
              <w:end w:w="65" w:type="dxa"/>
            </w:tcMar>
            <w:vAlign w:val="top"/>
          </w:tcPr>
          <w:p>
            <w:pPr>
              <w:spacing w:after="0"/>
            </w:pPr>
            <w:r>
              <w:rPr>
                <w:rFonts w:ascii="Arial" w:hAnsi="Arial" w:eastAsia="Arial"/>
                <w:b/>
                <w:i w:val="0"/>
                <w:color w:val="1F1F1F"/>
                <w:sz w:val="16"/>
              </w:rPr>
              <w:t>Защита от политического профилирования</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 и усилено</w:t>
            </w:r>
          </w:p>
        </w:tc>
        <w:tc>
          <w:tcPr>
            <w:tcW w:type="dxa" w:w="6917"/>
            <w:shd w:fill="EEF4F9"/>
            <w:tcMar>
              <w:top w:w="55" w:type="dxa"/>
              <w:start w:w="65" w:type="dxa"/>
              <w:bottom w:w="55" w:type="dxa"/>
              <w:end w:w="65" w:type="dxa"/>
            </w:tcMar>
            <w:vAlign w:val="top"/>
          </w:tcPr>
          <w:p>
            <w:pPr>
              <w:spacing w:after="0"/>
            </w:pPr>
            <w:r>
              <w:rPr>
                <w:rFonts w:ascii="Arial" w:hAnsi="Arial" w:eastAsia="Arial"/>
                <w:b w:val="0"/>
                <w:i w:val="0"/>
                <w:color w:val="1F1F1F"/>
                <w:sz w:val="16"/>
              </w:rPr>
              <w:t>Несвязываемость охватывает идентификацию, право, действие, метаданные, подрядчиков и исследовательский доступ.</w:t>
            </w:r>
          </w:p>
        </w:tc>
        <w:tc>
          <w:tcPr>
            <w:tcW w:type="dxa" w:w="3231"/>
            <w:shd w:fill="EEF4F9"/>
            <w:tcMar>
              <w:top w:w="55" w:type="dxa"/>
              <w:start w:w="65" w:type="dxa"/>
              <w:bottom w:w="55" w:type="dxa"/>
              <w:end w:w="65" w:type="dxa"/>
            </w:tcMar>
            <w:vAlign w:val="top"/>
          </w:tcPr>
          <w:p>
            <w:pPr>
              <w:spacing w:after="0"/>
            </w:pPr>
            <w:r>
              <w:rPr>
                <w:rFonts w:ascii="Arial" w:hAnsi="Arial" w:eastAsia="Arial"/>
                <w:b w:val="0"/>
                <w:i w:val="0"/>
                <w:color w:val="1F1F1F"/>
                <w:sz w:val="16"/>
              </w:rPr>
              <w:t>Гл. XXXVII</w:t>
            </w:r>
          </w:p>
        </w:tc>
      </w:tr>
      <w:tr>
        <w:trPr>
          <w:cantSplit w:val="true"/>
        </w:trPr>
        <w:tc>
          <w:tcPr>
            <w:tcW w:type="dxa" w:w="2948"/>
            <w:shd w:fill="FFFFFF"/>
            <w:tcMar>
              <w:top w:w="55" w:type="dxa"/>
              <w:start w:w="65" w:type="dxa"/>
              <w:bottom w:w="55" w:type="dxa"/>
              <w:end w:w="65" w:type="dxa"/>
            </w:tcMar>
            <w:vAlign w:val="top"/>
          </w:tcPr>
          <w:p>
            <w:pPr>
              <w:spacing w:after="0"/>
            </w:pPr>
            <w:r>
              <w:rPr>
                <w:rFonts w:ascii="Arial" w:hAnsi="Arial" w:eastAsia="Arial"/>
                <w:b/>
                <w:i w:val="0"/>
                <w:color w:val="1F1F1F"/>
                <w:sz w:val="16"/>
              </w:rPr>
              <w:t>Эволюционный характер</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 и усилено</w:t>
            </w:r>
          </w:p>
        </w:tc>
        <w:tc>
          <w:tcPr>
            <w:tcW w:type="dxa" w:w="6917"/>
            <w:shd w:fill="FFFFFF"/>
            <w:tcMar>
              <w:top w:w="55" w:type="dxa"/>
              <w:start w:w="65" w:type="dxa"/>
              <w:bottom w:w="55" w:type="dxa"/>
              <w:end w:w="65" w:type="dxa"/>
            </w:tcMar>
            <w:vAlign w:val="top"/>
          </w:tcPr>
          <w:p>
            <w:pPr>
              <w:spacing w:after="0"/>
            </w:pPr>
            <w:r>
              <w:rPr>
                <w:rFonts w:ascii="Arial" w:hAnsi="Arial" w:eastAsia="Arial"/>
                <w:b w:val="0"/>
                <w:i w:val="0"/>
                <w:color w:val="1F1F1F"/>
                <w:sz w:val="16"/>
              </w:rPr>
              <w:t>Внедрение идёт через моделирование, ограниченные пилоты, независимую оценку, ворота и автоматическое прекращение.</w:t>
            </w:r>
          </w:p>
        </w:tc>
        <w:tc>
          <w:tcPr>
            <w:tcW w:type="dxa" w:w="3231"/>
            <w:shd w:fill="FFFFFF"/>
            <w:tcMar>
              <w:top w:w="55" w:type="dxa"/>
              <w:start w:w="65" w:type="dxa"/>
              <w:bottom w:w="55" w:type="dxa"/>
              <w:end w:w="65" w:type="dxa"/>
            </w:tcMar>
            <w:vAlign w:val="top"/>
          </w:tcPr>
          <w:p>
            <w:pPr>
              <w:spacing w:after="0"/>
            </w:pPr>
            <w:r>
              <w:rPr>
                <w:rFonts w:ascii="Arial" w:hAnsi="Arial" w:eastAsia="Arial"/>
                <w:b w:val="0"/>
                <w:i w:val="0"/>
                <w:color w:val="1F1F1F"/>
                <w:sz w:val="16"/>
              </w:rPr>
              <w:t>Гл. III §9; XXXI; XXXII §19</w:t>
            </w:r>
          </w:p>
        </w:tc>
      </w:tr>
      <w:tr>
        <w:trPr>
          <w:cantSplit w:val="true"/>
        </w:trPr>
        <w:tc>
          <w:tcPr>
            <w:tcW w:type="dxa" w:w="2948"/>
            <w:shd w:fill="EEF4F9"/>
            <w:tcMar>
              <w:top w:w="55" w:type="dxa"/>
              <w:start w:w="65" w:type="dxa"/>
              <w:bottom w:w="55" w:type="dxa"/>
              <w:end w:w="65" w:type="dxa"/>
            </w:tcMar>
            <w:vAlign w:val="top"/>
          </w:tcPr>
          <w:p>
            <w:pPr>
              <w:spacing w:after="0"/>
            </w:pPr>
            <w:r>
              <w:rPr>
                <w:rFonts w:ascii="Arial" w:hAnsi="Arial" w:eastAsia="Arial"/>
                <w:b/>
                <w:i w:val="0"/>
                <w:color w:val="1F1F1F"/>
                <w:sz w:val="16"/>
              </w:rPr>
              <w:t>Существующая государственность</w:t>
            </w:r>
          </w:p>
        </w:tc>
        <w:tc>
          <w:tcPr>
            <w:tcW w:type="dxa" w:w="2041"/>
            <w:shd w:fill="E2F0D9"/>
            <w:tcMar>
              <w:top w:w="55" w:type="dxa"/>
              <w:start w:w="65" w:type="dxa"/>
              <w:bottom w:w="55" w:type="dxa"/>
              <w:end w:w="65" w:type="dxa"/>
            </w:tcMar>
            <w:vAlign w:val="top"/>
          </w:tcPr>
          <w:p>
            <w:pPr>
              <w:spacing w:after="0"/>
            </w:pPr>
            <w:r>
              <w:rPr>
                <w:rFonts w:ascii="Arial" w:hAnsi="Arial" w:eastAsia="Arial"/>
                <w:b/>
                <w:i w:val="0"/>
                <w:color w:val="1F1F1F"/>
                <w:sz w:val="16"/>
              </w:rPr>
              <w:t>Сохранено</w:t>
            </w:r>
          </w:p>
        </w:tc>
        <w:tc>
          <w:tcPr>
            <w:tcW w:type="dxa" w:w="6917"/>
            <w:shd w:fill="EEF4F9"/>
            <w:tcMar>
              <w:top w:w="55" w:type="dxa"/>
              <w:start w:w="65" w:type="dxa"/>
              <w:bottom w:w="55" w:type="dxa"/>
              <w:end w:w="65" w:type="dxa"/>
            </w:tcMar>
            <w:vAlign w:val="top"/>
          </w:tcPr>
          <w:p>
            <w:pPr>
              <w:spacing w:after="0"/>
            </w:pPr>
            <w:r>
              <w:rPr>
                <w:rFonts w:ascii="Arial" w:hAnsi="Arial" w:eastAsia="Arial"/>
                <w:b w:val="0"/>
                <w:i w:val="0"/>
                <w:color w:val="1F1F1F"/>
                <w:sz w:val="16"/>
              </w:rPr>
              <w:t>Доктрина не создаёт новую ветвь, не расширяет компетенции и не заменяет парламент, бюджет, суд, федерализм или обычные правовые акты.</w:t>
            </w:r>
          </w:p>
        </w:tc>
        <w:tc>
          <w:tcPr>
            <w:tcW w:type="dxa" w:w="3231"/>
            <w:shd w:fill="EEF4F9"/>
            <w:tcMar>
              <w:top w:w="55" w:type="dxa"/>
              <w:start w:w="65" w:type="dxa"/>
              <w:bottom w:w="55" w:type="dxa"/>
              <w:end w:w="65" w:type="dxa"/>
            </w:tcMar>
            <w:vAlign w:val="top"/>
          </w:tcPr>
          <w:p>
            <w:pPr>
              <w:spacing w:after="0"/>
            </w:pPr>
            <w:r>
              <w:rPr>
                <w:rFonts w:ascii="Arial" w:hAnsi="Arial" w:eastAsia="Arial"/>
                <w:b w:val="0"/>
                <w:i w:val="0"/>
                <w:color w:val="1F1F1F"/>
                <w:sz w:val="16"/>
              </w:rPr>
              <w:t>Гл. V, VIII, XIX, XXXII</w:t>
            </w:r>
          </w:p>
        </w:tc>
      </w:tr>
    </w:tbl>
    <w:p>
      <w:pPr>
        <w:pStyle w:val="Heading2"/>
        <w:keepNext/>
        <w:widowControl/>
      </w:pPr>
      <w:r>
        <w:t>E.2. Проверка ядра после повторной атаки</w:t>
      </w:r>
    </w:p>
    <w:tbl>
      <w:tblPr>
        <w:tblW w:type="auto" w:w="0"/>
        <w:jc w:val="center"/>
        <w:tblLayout w:type="fixed"/>
        <w:tblLook w:firstColumn="1" w:firstRow="1" w:lastColumn="0" w:lastRow="0" w:noHBand="0" w:noVBand="1" w:val="04A0"/>
      </w:tblPr>
      <w:tblGrid>
        <w:gridCol w:w="4987"/>
        <w:gridCol w:w="4987"/>
        <w:gridCol w:w="4987"/>
      </w:tblGrid>
      <w:tr>
        <w:trPr>
          <w:tblHeader w:val="true"/>
        </w:trPr>
        <w:tc>
          <w:tcPr>
            <w:tcW w:type="dxa" w:w="3456"/>
            <w:shd w:fill="17365D"/>
            <w:vAlign w:val="center"/>
            <w:tcMar>
              <w:top w:w="70" w:type="dxa"/>
              <w:start w:w="80" w:type="dxa"/>
              <w:bottom w:w="70" w:type="dxa"/>
              <w:end w:w="80" w:type="dxa"/>
            </w:tcMar>
          </w:tcPr>
          <w:p>
            <w:pPr>
              <w:spacing w:after="0" w:line="240" w:lineRule="auto"/>
            </w:pPr>
            <w:r/>
            <w:r>
              <w:rPr>
                <w:rFonts w:ascii="Arial" w:hAnsi="Arial"/>
                <w:b/>
                <w:color w:val="FFFFFF"/>
                <w:sz w:val="16"/>
              </w:rPr>
              <w:t>Элемент ядра</w:t>
            </w:r>
          </w:p>
        </w:tc>
        <w:tc>
          <w:tcPr>
            <w:tcW w:type="dxa" w:w="2448"/>
            <w:shd w:fill="17365D"/>
            <w:vAlign w:val="center"/>
            <w:tcMar>
              <w:top w:w="70" w:type="dxa"/>
              <w:start w:w="80" w:type="dxa"/>
              <w:bottom w:w="70" w:type="dxa"/>
              <w:end w:w="80" w:type="dxa"/>
            </w:tcMar>
          </w:tcPr>
          <w:p>
            <w:pPr>
              <w:spacing w:after="0" w:line="240" w:lineRule="auto"/>
            </w:pPr>
            <w:r/>
            <w:r>
              <w:rPr>
                <w:rFonts w:ascii="Arial" w:hAnsi="Arial"/>
                <w:b/>
                <w:color w:val="FFFFFF"/>
                <w:sz w:val="16"/>
              </w:rPr>
              <w:t>Вердикт</w:t>
            </w:r>
          </w:p>
        </w:tc>
        <w:tc>
          <w:tcPr>
            <w:tcW w:type="dxa" w:w="8928"/>
            <w:shd w:fill="17365D"/>
            <w:vAlign w:val="center"/>
            <w:tcMar>
              <w:top w:w="70" w:type="dxa"/>
              <w:start w:w="80" w:type="dxa"/>
              <w:bottom w:w="70" w:type="dxa"/>
              <w:end w:w="80" w:type="dxa"/>
            </w:tcMar>
          </w:tcPr>
          <w:p>
            <w:pPr>
              <w:spacing w:after="0" w:line="240" w:lineRule="auto"/>
            </w:pPr>
            <w:r/>
            <w:r>
              <w:rPr>
                <w:rFonts w:ascii="Arial" w:hAnsi="Arial"/>
                <w:b/>
                <w:color w:val="FFFFFF"/>
                <w:sz w:val="16"/>
              </w:rPr>
              <w:t>Обоснование</w:t>
            </w:r>
          </w:p>
        </w:tc>
      </w:tr>
      <w:tr>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Общественное происхождение</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Сохранено</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Ни одна предлагаемая корректировка не передаёт формирование целей государству, кандидатам или экспертам.</w:t>
            </w:r>
          </w:p>
        </w:tc>
      </w:tr>
      <w:tr>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Движение снизу вверх</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Сохранено</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Кластеризация, защищённый и случайный каналы уточняются, но не заменяются закрытым отбором.</w:t>
            </w:r>
          </w:p>
        </w:tc>
      </w:tr>
      <w:tr>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Обязательное отношение кандидатов</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Сохранено</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Уточняется форма и счёт; право кандидата молчанием обнулить цикл не вводится.</w:t>
            </w:r>
          </w:p>
        </w:tc>
      </w:tr>
      <w:tr>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Ограниченный предел отказа</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Сохранено, но юридически разводится</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Предел остаётся политико-процедурным ядром; универсальная регистрационная санкция не утверждается без национального конституционного основания.</w:t>
            </w:r>
          </w:p>
        </w:tc>
      </w:tr>
      <w:tr>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Граждане определяют цели</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Сохранено</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Карта конфликтов не позволяет экспертам выбрать приоритет; решение остаётся за гражданским голосованием.</w:t>
            </w:r>
          </w:p>
        </w:tc>
      </w:tr>
      <w:tr>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Государство определяет способы</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Сохранено</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Судебная проверка собственных действий не превращается в предписание содержания политики.</w:t>
            </w:r>
          </w:p>
        </w:tc>
      </w:tr>
      <w:tr>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Публичная оценка исполнения</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Сохранено</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Запрещаются только монопольный балл и перенос процедурных нарушений в специальные политические санкции.</w:t>
            </w:r>
          </w:p>
        </w:tc>
      </w:tr>
      <w:tr>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Эволюционность и пилотирование</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Усилено</w:t>
            </w:r>
          </w:p>
        </w:tc>
        <w:tc>
          <w:tcPr>
            <w:tcW w:type="dxa" w:w="4987"/>
            <w:shd w:fill="F2F2F2"/>
            <w:vAlign w:val="center"/>
            <w:tcMar>
              <w:top w:w="70" w:type="dxa"/>
              <w:start w:w="80" w:type="dxa"/>
              <w:bottom w:w="70" w:type="dxa"/>
              <w:end w:w="80" w:type="dxa"/>
            </w:tcMar>
          </w:tcPr>
          <w:p>
            <w:pPr>
              <w:spacing w:after="0" w:line="240" w:lineRule="auto"/>
            </w:pPr>
            <w:r/>
            <w:r>
              <w:rPr>
                <w:rFonts w:ascii="Arial" w:hAnsi="Arial"/>
                <w:b w:val="0"/>
                <w:sz w:val="16"/>
              </w:rPr>
              <w:t>Ворота разделяются по конкретным полномочиям; отрицательный результат сохраняет автоматическую силу.</w:t>
            </w:r>
          </w:p>
        </w:tc>
      </w:tr>
      <w:tr>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Политическая приватность</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Усилено</w:t>
            </w:r>
          </w:p>
        </w:tc>
        <w:tc>
          <w:tcPr>
            <w:tcW w:type="dxa" w:w="4987"/>
            <w:shd w:fill="FFFFFF"/>
            <w:vAlign w:val="center"/>
            <w:tcMar>
              <w:top w:w="70" w:type="dxa"/>
              <w:start w:w="80" w:type="dxa"/>
              <w:bottom w:w="70" w:type="dxa"/>
              <w:end w:w="80" w:type="dxa"/>
            </w:tcMar>
          </w:tcPr>
          <w:p>
            <w:pPr>
              <w:spacing w:after="0" w:line="240" w:lineRule="auto"/>
            </w:pPr>
            <w:r/>
            <w:r>
              <w:rPr>
                <w:rFonts w:ascii="Arial" w:hAnsi="Arial"/>
                <w:b w:val="0"/>
                <w:sz w:val="16"/>
              </w:rPr>
              <w:t>Защищённый канал и архив перестраиваются так, чтобы не создавать идентичностный или исторический профиль.</w:t>
            </w:r>
          </w:p>
        </w:tc>
      </w:tr>
    </w:tbl>
    <w:tbl>
      <w:tblPr>
        <w:tblStyle w:val="TableGrid"/>
        <w:tblW w:type="auto" w:w="0"/>
        <w:tblLook w:firstColumn="1" w:firstRow="1" w:lastColumn="0" w:lastRow="0" w:noHBand="0" w:noVBand="1" w:val="04A0"/>
      </w:tblPr>
      <w:tblGrid>
        <w:gridCol w:w="9951"/>
      </w:tblGrid>
      <w:tr>
        <w:trPr>
          <w:tblHeader w:val="true"/>
        </w:trPr>
        <w:tc>
          <w:tcPr>
            <w:tcW w:type="dxa" w:w="9951"/>
            <w:shd w:fill="DDEBF7"/>
            <w:vAlign w:val="center"/>
          </w:tcPr>
          <w:p>
            <w:pPr>
              <w:jc w:val="center"/>
            </w:pPr>
            <w:r>
              <w:rPr>
                <w:b/>
                <w:sz w:val="20"/>
              </w:rPr>
              <w:t>ИТОГ АУДИТА КОНЦЕПТУАЛЬНОЙ НЕИЗМЕННОСТИ</w:t>
            </w:r>
          </w:p>
          <w:p>
            <w:pPr>
              <w:jc w:val="center"/>
            </w:pPr>
            <w:r>
              <w:rPr>
                <w:sz w:val="18"/>
              </w:rPr>
              <w:t>Название, корневая идея, общественное происхождение поручения, движение инициатив снизу вверх, обязательное публичное отношение кандидатов, ограниченный предел непринятия, гражданское определение целей, государственное определение способов, публичная оценка, эволюционность и политическая приватность сохранены. Усилены гарантии, а не изменена идеология.</w:t>
            </w:r>
          </w:p>
          <w:p>
            <w:pPr>
              <w:spacing w:before="140" w:after="40"/>
              <w:jc w:val="center"/>
            </w:pPr>
            <w:r>
              <w:rPr>
                <w:b/>
                <w:sz w:val="20"/>
              </w:rPr>
              <w:t>ОКОНЧАТЕЛЬНЫЙ СТАТУС</w:t>
            </w:r>
          </w:p>
          <w:p>
            <w:pPr>
              <w:spacing w:before="0" w:after="0"/>
              <w:jc w:val="center"/>
            </w:pPr>
            <w:r>
              <w:rPr>
                <w:b/>
                <w:sz w:val="22"/>
              </w:rPr>
              <w:t>Это окончательная мастер-версия Доктрины 2.1.</w:t>
            </w:r>
          </w:p>
        </w:tc>
      </w:tr>
    </w:tbl>
    <w:p>
      <w:pPr>
        <w:sectPr>
          <w:type w:val="nextPage"/>
          <w:headerReference w:type="default" r:id="rId9"/>
          <w:footerReference w:type="default" r:id="rId10"/>
          <w:headerReference w:type="first" r:id="rId11"/>
          <w:headerReference w:type="even" r:id="rId12"/>
          <w:footerReference w:type="first" r:id="rId13"/>
          <w:pgSz w:w="16838" w:h="11906" w:orient="landscape"/>
          <w:pgMar w:top="935" w:right="935" w:bottom="879" w:left="1020" w:header="397" w:footer="397" w:gutter="0"/>
          <w:cols w:space="720"/>
          <w:docGrid w:linePitch="360"/>
        </w:sectPr>
      </w:pPr>
    </w:p>
    <w:p>
      <w:pPr>
        <w:pStyle w:val="Heading1"/>
        <w:keepNext/>
        <w:pageBreakBefore w:val="0"/>
      </w:pPr>
      <w:r>
        <w:t>Приложение F. Международно-правовые и методологические ориентиры</w:t>
      </w:r>
    </w:p>
    <w:p>
      <w:pPr>
        <w:pStyle w:val="Heading2"/>
        <w:keepNext/>
      </w:pPr>
      <w:r>
        <w:t>Назначение приложения</w:t>
      </w:r>
    </w:p>
    <w:p>
      <w:pPr/>
      <w:r>
        <w:t>Настоящий перечень не превращает международные документы и технические стандарты в прямые нормы универсальной Доктрины. Он фиксирует официальные ориентиры, использованные для проверки права участия, свободного волеизъявления, защиты меньшинств, местного самоуправления, политической приватности, электронного голосования, цифровой идентичности, открытости и защиты от скрытого влияния.</w:t>
      </w:r>
    </w:p>
    <w:p>
      <w:pPr/>
      <w:r>
        <w:t>При национальной адаптации применимость, юридическая сила, актуальная редакция и соотношение каждого ориентира с внутренним правом проверяются отдельно. Там, где применимое право устанавливает более высокий стандарт защиты, используется более высокий стандарт.</w:t>
      </w:r>
    </w:p>
    <w:tbl>
      <w:tblPr>
        <w:tblStyle w:val="TableGrid"/>
        <w:tblW w:type="auto" w:w="0"/>
        <w:tblLook w:firstColumn="1" w:firstRow="1" w:lastColumn="0" w:lastRow="0" w:noHBand="0" w:noVBand="1" w:val="04A0"/>
      </w:tblPr>
      <w:tblGrid>
        <w:gridCol w:w="3317"/>
        <w:gridCol w:w="3317"/>
        <w:gridCol w:w="3317"/>
      </w:tblGrid>
      <w:tr>
        <w:trPr>
          <w:tblHeader w:val="true"/>
        </w:trPr>
        <w:tc>
          <w:tcPr>
            <w:tcW w:type="dxa" w:w="567"/>
            <w:shd w:fill="17365D"/>
            <w:vAlign w:val="center"/>
            <w:tcMar>
              <w:top w:w="70" w:type="dxa"/>
              <w:start w:w="90" w:type="dxa"/>
              <w:bottom w:w="70" w:type="dxa"/>
              <w:end w:w="90" w:type="dxa"/>
            </w:tcMar>
          </w:tcPr>
          <w:p>
            <w:pPr>
              <w:jc w:val="center"/>
            </w:pPr>
            <w:r>
              <w:rPr>
                <w:b/>
                <w:color w:val="FFFFFF"/>
                <w:sz w:val="17"/>
              </w:rPr>
            </w:r>
            <w:r>
              <w:rPr>
                <w:b/>
                <w:color w:val="FFFFFF"/>
                <w:sz w:val="17"/>
              </w:rPr>
              <w:t>№</w:t>
            </w:r>
          </w:p>
        </w:tc>
        <w:tc>
          <w:tcPr>
            <w:tcW w:type="dxa" w:w="4762"/>
            <w:shd w:fill="17365D"/>
            <w:vAlign w:val="center"/>
            <w:tcMar>
              <w:top w:w="70" w:type="dxa"/>
              <w:start w:w="90" w:type="dxa"/>
              <w:bottom w:w="70" w:type="dxa"/>
              <w:end w:w="90" w:type="dxa"/>
            </w:tcMar>
          </w:tcPr>
          <w:p>
            <w:pPr>
              <w:jc w:val="center"/>
            </w:pPr>
            <w:r>
              <w:rPr>
                <w:b/>
                <w:color w:val="FFFFFF"/>
                <w:sz w:val="17"/>
              </w:rPr>
            </w:r>
            <w:r>
              <w:rPr>
                <w:b/>
                <w:color w:val="FFFFFF"/>
                <w:sz w:val="17"/>
              </w:rPr>
              <w:t>Официальный ориентир</w:t>
            </w:r>
          </w:p>
        </w:tc>
        <w:tc>
          <w:tcPr>
            <w:tcW w:type="dxa" w:w="3969"/>
            <w:shd w:fill="17365D"/>
            <w:vAlign w:val="center"/>
            <w:tcMar>
              <w:top w:w="70" w:type="dxa"/>
              <w:start w:w="90" w:type="dxa"/>
              <w:bottom w:w="70" w:type="dxa"/>
              <w:end w:w="90" w:type="dxa"/>
            </w:tcMar>
          </w:tcPr>
          <w:p>
            <w:pPr>
              <w:jc w:val="center"/>
            </w:pPr>
            <w:r>
              <w:rPr>
                <w:b/>
                <w:color w:val="FFFFFF"/>
                <w:sz w:val="17"/>
              </w:rPr>
            </w:r>
            <w:r>
              <w:rPr>
                <w:b/>
                <w:color w:val="FFFFFF"/>
                <w:sz w:val="17"/>
              </w:rPr>
              <w:t>Роль в проверке Доктрины</w:t>
            </w:r>
          </w:p>
        </w:tc>
      </w:tr>
      <w:tr>
        <w:tc>
          <w:tcPr>
            <w:tcW w:type="dxa" w:w="567"/>
            <w:tcMar>
              <w:top w:w="70" w:type="dxa"/>
              <w:start w:w="90" w:type="dxa"/>
              <w:bottom w:w="70" w:type="dxa"/>
              <w:end w:w="90" w:type="dxa"/>
            </w:tcMar>
            <w:vAlign w:val="center"/>
          </w:tcPr>
          <w:p>
            <w:pPr>
              <w:jc w:val="center"/>
            </w:pPr>
            <w:r>
              <w:rPr>
                <w:sz w:val="16"/>
              </w:rPr>
            </w:r>
            <w:r>
              <w:rPr>
                <w:sz w:val="16"/>
              </w:rPr>
              <w:t>1</w:t>
            </w:r>
          </w:p>
        </w:tc>
        <w:tc>
          <w:tcPr>
            <w:tcW w:type="dxa" w:w="4762"/>
            <w:tcMar>
              <w:top w:w="70" w:type="dxa"/>
              <w:start w:w="90" w:type="dxa"/>
              <w:bottom w:w="70" w:type="dxa"/>
              <w:end w:w="90" w:type="dxa"/>
            </w:tcMar>
            <w:vAlign w:val="center"/>
          </w:tcPr>
          <w:p>
            <w:pPr>
              <w:jc w:val="left"/>
            </w:pPr>
            <w:r>
              <w:rPr>
                <w:sz w:val="16"/>
              </w:rPr>
            </w:r>
            <w:r>
              <w:rPr>
                <w:sz w:val="16"/>
              </w:rPr>
              <w:t>Международный пакт о гражданских и политических правах, статья 25; Комитет ООН по правам человека, Общее замечание № 25, CCPR/C/21/Rev.1/Add.7.</w:t>
            </w:r>
          </w:p>
        </w:tc>
        <w:tc>
          <w:tcPr>
            <w:tcW w:type="dxa" w:w="3969"/>
            <w:tcMar>
              <w:top w:w="70" w:type="dxa"/>
              <w:start w:w="90" w:type="dxa"/>
              <w:bottom w:w="70" w:type="dxa"/>
              <w:end w:w="90" w:type="dxa"/>
            </w:tcMar>
            <w:vAlign w:val="center"/>
          </w:tcPr>
          <w:p>
            <w:pPr>
              <w:jc w:val="left"/>
            </w:pPr>
            <w:r>
              <w:rPr>
                <w:sz w:val="16"/>
              </w:rPr>
            </w:r>
            <w:r>
              <w:rPr>
                <w:sz w:val="16"/>
              </w:rPr>
              <w:t>Прямое и представительное участие, всеобщность и равенство выборов, тайна голосования, отсутствие необоснованных ограничений.</w:t>
            </w:r>
          </w:p>
        </w:tc>
      </w:tr>
      <w:tr>
        <w:tc>
          <w:tcPr>
            <w:tcW w:type="dxa" w:w="567"/>
            <w:tcMar>
              <w:top w:w="70" w:type="dxa"/>
              <w:start w:w="90" w:type="dxa"/>
              <w:bottom w:w="70" w:type="dxa"/>
              <w:end w:w="90" w:type="dxa"/>
            </w:tcMar>
            <w:vAlign w:val="center"/>
            <w:shd w:fill="EDF3F8"/>
          </w:tcPr>
          <w:p>
            <w:pPr>
              <w:jc w:val="center"/>
            </w:pPr>
            <w:r>
              <w:rPr>
                <w:sz w:val="16"/>
              </w:rPr>
            </w:r>
            <w:r>
              <w:rPr>
                <w:sz w:val="16"/>
              </w:rPr>
              <w:t>2</w:t>
            </w:r>
          </w:p>
        </w:tc>
        <w:tc>
          <w:tcPr>
            <w:tcW w:type="dxa" w:w="4762"/>
            <w:tcMar>
              <w:top w:w="70" w:type="dxa"/>
              <w:start w:w="90" w:type="dxa"/>
              <w:bottom w:w="70" w:type="dxa"/>
              <w:end w:w="90" w:type="dxa"/>
            </w:tcMar>
            <w:vAlign w:val="center"/>
            <w:shd w:fill="EDF3F8"/>
          </w:tcPr>
          <w:p>
            <w:pPr>
              <w:jc w:val="left"/>
            </w:pPr>
            <w:r>
              <w:rPr>
                <w:sz w:val="16"/>
              </w:rPr>
            </w:r>
            <w:r>
              <w:rPr>
                <w:sz w:val="16"/>
              </w:rPr>
              <w:t>Конвенция ООН о правах инвалидов, статья 29, и связанные официальные разъяснения Комитета.</w:t>
            </w:r>
          </w:p>
        </w:tc>
        <w:tc>
          <w:tcPr>
            <w:tcW w:type="dxa" w:w="3969"/>
            <w:tcMar>
              <w:top w:w="70" w:type="dxa"/>
              <w:start w:w="90" w:type="dxa"/>
              <w:bottom w:w="70" w:type="dxa"/>
              <w:end w:w="90" w:type="dxa"/>
            </w:tcMar>
            <w:vAlign w:val="center"/>
            <w:shd w:fill="EDF3F8"/>
          </w:tcPr>
          <w:p>
            <w:pPr>
              <w:jc w:val="left"/>
            </w:pPr>
            <w:r>
              <w:rPr>
                <w:sz w:val="16"/>
              </w:rPr>
            </w:r>
            <w:r>
              <w:rPr>
                <w:sz w:val="16"/>
              </w:rPr>
              <w:t>Доступность, самостоятельность и конфиденциальность политического участия лиц с инвалидностью.</w:t>
            </w:r>
          </w:p>
        </w:tc>
      </w:tr>
      <w:tr>
        <w:tc>
          <w:tcPr>
            <w:tcW w:type="dxa" w:w="567"/>
            <w:tcMar>
              <w:top w:w="70" w:type="dxa"/>
              <w:start w:w="90" w:type="dxa"/>
              <w:bottom w:w="70" w:type="dxa"/>
              <w:end w:w="90" w:type="dxa"/>
            </w:tcMar>
            <w:vAlign w:val="center"/>
          </w:tcPr>
          <w:p>
            <w:pPr>
              <w:jc w:val="center"/>
            </w:pPr>
            <w:r>
              <w:rPr>
                <w:sz w:val="16"/>
              </w:rPr>
            </w:r>
            <w:r>
              <w:rPr>
                <w:sz w:val="16"/>
              </w:rPr>
              <w:t>3</w:t>
            </w:r>
          </w:p>
        </w:tc>
        <w:tc>
          <w:tcPr>
            <w:tcW w:type="dxa" w:w="4762"/>
            <w:tcMar>
              <w:top w:w="70" w:type="dxa"/>
              <w:start w:w="90" w:type="dxa"/>
              <w:bottom w:w="70" w:type="dxa"/>
              <w:end w:w="90" w:type="dxa"/>
            </w:tcMar>
            <w:vAlign w:val="center"/>
          </w:tcPr>
          <w:p>
            <w:pPr>
              <w:jc w:val="left"/>
            </w:pPr>
            <w:r>
              <w:rPr>
                <w:sz w:val="16"/>
              </w:rPr>
            </w:r>
            <w:r>
              <w:rPr>
                <w:sz w:val="16"/>
              </w:rPr>
              <w:t>Венецианская комиссия, Revised Code of Good Practice on Referendums, CDL-AD(2022)015.</w:t>
            </w:r>
          </w:p>
        </w:tc>
        <w:tc>
          <w:tcPr>
            <w:tcW w:type="dxa" w:w="3969"/>
            <w:tcMar>
              <w:top w:w="70" w:type="dxa"/>
              <w:start w:w="90" w:type="dxa"/>
              <w:bottom w:w="70" w:type="dxa"/>
              <w:end w:w="90" w:type="dxa"/>
            </w:tcMar>
            <w:vAlign w:val="center"/>
          </w:tcPr>
          <w:p>
            <w:pPr>
              <w:jc w:val="left"/>
            </w:pPr>
            <w:r>
              <w:rPr>
                <w:sz w:val="16"/>
              </w:rPr>
            </w:r>
            <w:r>
              <w:rPr>
                <w:sz w:val="16"/>
              </w:rPr>
              <w:t>Ясность вопроса, стабильность правил, сбалансированная информация, место прямого голосования в конституционном порядке.</w:t>
            </w:r>
          </w:p>
        </w:tc>
      </w:tr>
      <w:tr>
        <w:tc>
          <w:tcPr>
            <w:tcW w:type="dxa" w:w="567"/>
            <w:tcMar>
              <w:top w:w="70" w:type="dxa"/>
              <w:start w:w="90" w:type="dxa"/>
              <w:bottom w:w="70" w:type="dxa"/>
              <w:end w:w="90" w:type="dxa"/>
            </w:tcMar>
            <w:vAlign w:val="center"/>
            <w:shd w:fill="EDF3F8"/>
          </w:tcPr>
          <w:p>
            <w:pPr>
              <w:jc w:val="center"/>
            </w:pPr>
            <w:r>
              <w:rPr>
                <w:sz w:val="16"/>
              </w:rPr>
            </w:r>
            <w:r>
              <w:rPr>
                <w:sz w:val="16"/>
              </w:rPr>
              <w:t>4</w:t>
            </w:r>
          </w:p>
        </w:tc>
        <w:tc>
          <w:tcPr>
            <w:tcW w:type="dxa" w:w="4762"/>
            <w:tcMar>
              <w:top w:w="70" w:type="dxa"/>
              <w:start w:w="90" w:type="dxa"/>
              <w:bottom w:w="70" w:type="dxa"/>
              <w:end w:w="90" w:type="dxa"/>
            </w:tcMar>
            <w:vAlign w:val="center"/>
            <w:shd w:fill="EDF3F8"/>
          </w:tcPr>
          <w:p>
            <w:pPr>
              <w:jc w:val="left"/>
            </w:pPr>
            <w:r>
              <w:rPr>
                <w:sz w:val="16"/>
              </w:rPr>
            </w:r>
            <w:r>
              <w:rPr>
                <w:sz w:val="16"/>
              </w:rPr>
              <w:t>Совет Европы, Recommendation CM/Rec(2017)5 on standards for e-voting.</w:t>
            </w:r>
          </w:p>
        </w:tc>
        <w:tc>
          <w:tcPr>
            <w:tcW w:type="dxa" w:w="3969"/>
            <w:tcMar>
              <w:top w:w="70" w:type="dxa"/>
              <w:start w:w="90" w:type="dxa"/>
              <w:bottom w:w="70" w:type="dxa"/>
              <w:end w:w="90" w:type="dxa"/>
            </w:tcMar>
            <w:vAlign w:val="center"/>
            <w:shd w:fill="EDF3F8"/>
          </w:tcPr>
          <w:p>
            <w:pPr>
              <w:jc w:val="left"/>
            </w:pPr>
            <w:r>
              <w:rPr>
                <w:sz w:val="16"/>
              </w:rPr>
            </w:r>
            <w:r>
              <w:rPr>
                <w:sz w:val="16"/>
              </w:rPr>
              <w:t>Принципы демократических выборов при электронном голосовании, доверие, проверяемость и юридико-технические гарантии.</w:t>
            </w:r>
          </w:p>
        </w:tc>
      </w:tr>
      <w:tr>
        <w:tc>
          <w:tcPr>
            <w:tcW w:type="dxa" w:w="567"/>
            <w:tcMar>
              <w:top w:w="70" w:type="dxa"/>
              <w:start w:w="90" w:type="dxa"/>
              <w:bottom w:w="70" w:type="dxa"/>
              <w:end w:w="90" w:type="dxa"/>
            </w:tcMar>
            <w:vAlign w:val="center"/>
          </w:tcPr>
          <w:p>
            <w:pPr>
              <w:jc w:val="center"/>
            </w:pPr>
            <w:r>
              <w:rPr>
                <w:sz w:val="16"/>
              </w:rPr>
            </w:r>
            <w:r>
              <w:rPr>
                <w:sz w:val="16"/>
              </w:rPr>
              <w:t>5</w:t>
            </w:r>
          </w:p>
        </w:tc>
        <w:tc>
          <w:tcPr>
            <w:tcW w:type="dxa" w:w="4762"/>
            <w:tcMar>
              <w:top w:w="70" w:type="dxa"/>
              <w:start w:w="90" w:type="dxa"/>
              <w:bottom w:w="70" w:type="dxa"/>
              <w:end w:w="90" w:type="dxa"/>
            </w:tcMar>
            <w:vAlign w:val="center"/>
          </w:tcPr>
          <w:p>
            <w:pPr>
              <w:jc w:val="left"/>
            </w:pPr>
            <w:r>
              <w:rPr>
                <w:sz w:val="16"/>
              </w:rPr>
            </w:r>
            <w:r>
              <w:rPr>
                <w:sz w:val="16"/>
              </w:rPr>
              <w:t>Совет Европы, Guidelines on the use of information and communication technology in electoral processes, 2022.</w:t>
            </w:r>
          </w:p>
        </w:tc>
        <w:tc>
          <w:tcPr>
            <w:tcW w:type="dxa" w:w="3969"/>
            <w:tcMar>
              <w:top w:w="70" w:type="dxa"/>
              <w:start w:w="90" w:type="dxa"/>
              <w:bottom w:w="70" w:type="dxa"/>
              <w:end w:w="90" w:type="dxa"/>
            </w:tcMar>
            <w:vAlign w:val="center"/>
          </w:tcPr>
          <w:p>
            <w:pPr>
              <w:jc w:val="left"/>
            </w:pPr>
            <w:r>
              <w:rPr>
                <w:sz w:val="16"/>
              </w:rPr>
            </w:r>
            <w:r>
              <w:rPr>
                <w:sz w:val="16"/>
              </w:rPr>
              <w:t>Целостность цифровых стадий избирательного процесса, безопасность по замыслу, баланс прозрачности, тайны и доступности.</w:t>
            </w:r>
          </w:p>
        </w:tc>
      </w:tr>
      <w:tr>
        <w:tc>
          <w:tcPr>
            <w:tcW w:type="dxa" w:w="567"/>
            <w:tcMar>
              <w:top w:w="70" w:type="dxa"/>
              <w:start w:w="90" w:type="dxa"/>
              <w:bottom w:w="70" w:type="dxa"/>
              <w:end w:w="90" w:type="dxa"/>
            </w:tcMar>
            <w:vAlign w:val="center"/>
            <w:shd w:fill="EDF3F8"/>
          </w:tcPr>
          <w:p>
            <w:pPr>
              <w:jc w:val="center"/>
            </w:pPr>
            <w:r>
              <w:rPr>
                <w:sz w:val="16"/>
              </w:rPr>
            </w:r>
            <w:r>
              <w:rPr>
                <w:sz w:val="16"/>
              </w:rPr>
              <w:t>6</w:t>
            </w:r>
          </w:p>
        </w:tc>
        <w:tc>
          <w:tcPr>
            <w:tcW w:type="dxa" w:w="4762"/>
            <w:tcMar>
              <w:top w:w="70" w:type="dxa"/>
              <w:start w:w="90" w:type="dxa"/>
              <w:bottom w:w="70" w:type="dxa"/>
              <w:end w:w="90" w:type="dxa"/>
            </w:tcMar>
            <w:vAlign w:val="center"/>
            <w:shd w:fill="EDF3F8"/>
          </w:tcPr>
          <w:p>
            <w:pPr>
              <w:jc w:val="left"/>
            </w:pPr>
            <w:r>
              <w:rPr>
                <w:sz w:val="16"/>
              </w:rPr>
            </w:r>
            <w:r>
              <w:rPr>
                <w:sz w:val="16"/>
              </w:rPr>
              <w:t>Совет Европы, Convention 108 и модернизированная Convention 108+ (Протокол CETS No. 223).</w:t>
            </w:r>
          </w:p>
        </w:tc>
        <w:tc>
          <w:tcPr>
            <w:tcW w:type="dxa" w:w="3969"/>
            <w:tcMar>
              <w:top w:w="70" w:type="dxa"/>
              <w:start w:w="90" w:type="dxa"/>
              <w:bottom w:w="70" w:type="dxa"/>
              <w:end w:w="90" w:type="dxa"/>
            </w:tcMar>
            <w:vAlign w:val="center"/>
            <w:shd w:fill="EDF3F8"/>
          </w:tcPr>
          <w:p>
            <w:pPr>
              <w:jc w:val="left"/>
            </w:pPr>
            <w:r>
              <w:rPr>
                <w:sz w:val="16"/>
              </w:rPr>
            </w:r>
            <w:r>
              <w:rPr>
                <w:sz w:val="16"/>
              </w:rPr>
              <w:t>Законность, минимизация, независимый надзор и защита политически чувствительных данных.</w:t>
            </w:r>
          </w:p>
        </w:tc>
      </w:tr>
      <w:tr>
        <w:tc>
          <w:tcPr>
            <w:tcW w:type="dxa" w:w="567"/>
            <w:tcMar>
              <w:top w:w="70" w:type="dxa"/>
              <w:start w:w="90" w:type="dxa"/>
              <w:bottom w:w="70" w:type="dxa"/>
              <w:end w:w="90" w:type="dxa"/>
            </w:tcMar>
            <w:vAlign w:val="center"/>
          </w:tcPr>
          <w:p>
            <w:pPr>
              <w:jc w:val="center"/>
            </w:pPr>
            <w:r>
              <w:rPr>
                <w:sz w:val="16"/>
              </w:rPr>
            </w:r>
            <w:r>
              <w:rPr>
                <w:sz w:val="16"/>
              </w:rPr>
              <w:t>7</w:t>
            </w:r>
          </w:p>
        </w:tc>
        <w:tc>
          <w:tcPr>
            <w:tcW w:type="dxa" w:w="4762"/>
            <w:tcMar>
              <w:top w:w="70" w:type="dxa"/>
              <w:start w:w="90" w:type="dxa"/>
              <w:bottom w:w="70" w:type="dxa"/>
              <w:end w:w="90" w:type="dxa"/>
            </w:tcMar>
            <w:vAlign w:val="center"/>
          </w:tcPr>
          <w:p>
            <w:pPr>
              <w:jc w:val="left"/>
            </w:pPr>
            <w:r>
              <w:rPr>
                <w:sz w:val="16"/>
              </w:rPr>
            </w:r>
            <w:r>
              <w:rPr>
                <w:sz w:val="16"/>
              </w:rPr>
              <w:t>Регламент (ЕС) 2016/679 (GDPR), CELEX 32016R0679.</w:t>
            </w:r>
          </w:p>
        </w:tc>
        <w:tc>
          <w:tcPr>
            <w:tcW w:type="dxa" w:w="3969"/>
            <w:tcMar>
              <w:top w:w="70" w:type="dxa"/>
              <w:start w:w="90" w:type="dxa"/>
              <w:bottom w:w="70" w:type="dxa"/>
              <w:end w:w="90" w:type="dxa"/>
            </w:tcMar>
            <w:vAlign w:val="center"/>
          </w:tcPr>
          <w:p>
            <w:pPr>
              <w:jc w:val="left"/>
            </w:pPr>
            <w:r>
              <w:rPr>
                <w:sz w:val="16"/>
              </w:rPr>
            </w:r>
            <w:r>
              <w:rPr>
                <w:sz w:val="16"/>
              </w:rPr>
              <w:t>Специальный режим данных, раскрывающих политические взгляды, ограничение целей, права субъекта и ответственность.</w:t>
            </w:r>
          </w:p>
        </w:tc>
      </w:tr>
      <w:tr>
        <w:tc>
          <w:tcPr>
            <w:tcW w:type="dxa" w:w="567"/>
            <w:tcMar>
              <w:top w:w="70" w:type="dxa"/>
              <w:start w:w="90" w:type="dxa"/>
              <w:bottom w:w="70" w:type="dxa"/>
              <w:end w:w="90" w:type="dxa"/>
            </w:tcMar>
            <w:vAlign w:val="center"/>
            <w:shd w:fill="EDF3F8"/>
          </w:tcPr>
          <w:p>
            <w:pPr>
              <w:jc w:val="center"/>
            </w:pPr>
            <w:r>
              <w:rPr>
                <w:sz w:val="16"/>
              </w:rPr>
            </w:r>
            <w:r>
              <w:rPr>
                <w:sz w:val="16"/>
              </w:rPr>
              <w:t>8</w:t>
            </w:r>
          </w:p>
        </w:tc>
        <w:tc>
          <w:tcPr>
            <w:tcW w:type="dxa" w:w="4762"/>
            <w:tcMar>
              <w:top w:w="70" w:type="dxa"/>
              <w:start w:w="90" w:type="dxa"/>
              <w:bottom w:w="70" w:type="dxa"/>
              <w:end w:w="90" w:type="dxa"/>
            </w:tcMar>
            <w:vAlign w:val="center"/>
            <w:shd w:fill="EDF3F8"/>
          </w:tcPr>
          <w:p>
            <w:pPr>
              <w:jc w:val="left"/>
            </w:pPr>
            <w:r>
              <w:rPr>
                <w:sz w:val="16"/>
              </w:rPr>
            </w:r>
            <w:r>
              <w:rPr>
                <w:sz w:val="16"/>
              </w:rPr>
              <w:t>Европейская хартия местного самоуправления, ETS No. 122.</w:t>
            </w:r>
          </w:p>
        </w:tc>
        <w:tc>
          <w:tcPr>
            <w:tcW w:type="dxa" w:w="3969"/>
            <w:tcMar>
              <w:top w:w="70" w:type="dxa"/>
              <w:start w:w="90" w:type="dxa"/>
              <w:bottom w:w="70" w:type="dxa"/>
              <w:end w:w="90" w:type="dxa"/>
            </w:tcMar>
            <w:vAlign w:val="center"/>
            <w:shd w:fill="EDF3F8"/>
          </w:tcPr>
          <w:p>
            <w:pPr>
              <w:jc w:val="left"/>
            </w:pPr>
            <w:r>
              <w:rPr>
                <w:sz w:val="16"/>
              </w:rPr>
            </w:r>
            <w:r>
              <w:rPr>
                <w:sz w:val="16"/>
              </w:rPr>
              <w:t>Компетенция, автономия, субсидиарность, консультации и соответствие финансовых ресурсов переданным задачам.</w:t>
            </w:r>
          </w:p>
        </w:tc>
      </w:tr>
      <w:tr>
        <w:tc>
          <w:tcPr>
            <w:tcW w:type="dxa" w:w="567"/>
            <w:tcMar>
              <w:top w:w="70" w:type="dxa"/>
              <w:start w:w="90" w:type="dxa"/>
              <w:bottom w:w="70" w:type="dxa"/>
              <w:end w:w="90" w:type="dxa"/>
            </w:tcMar>
            <w:vAlign w:val="center"/>
          </w:tcPr>
          <w:p>
            <w:pPr>
              <w:jc w:val="center"/>
            </w:pPr>
            <w:r>
              <w:rPr>
                <w:sz w:val="16"/>
              </w:rPr>
            </w:r>
            <w:r>
              <w:rPr>
                <w:sz w:val="16"/>
              </w:rPr>
              <w:t>9</w:t>
            </w:r>
          </w:p>
        </w:tc>
        <w:tc>
          <w:tcPr>
            <w:tcW w:type="dxa" w:w="4762"/>
            <w:tcMar>
              <w:top w:w="70" w:type="dxa"/>
              <w:start w:w="90" w:type="dxa"/>
              <w:bottom w:w="70" w:type="dxa"/>
              <w:end w:w="90" w:type="dxa"/>
            </w:tcMar>
            <w:vAlign w:val="center"/>
          </w:tcPr>
          <w:p>
            <w:pPr>
              <w:jc w:val="left"/>
            </w:pPr>
            <w:r>
              <w:rPr>
                <w:sz w:val="16"/>
              </w:rPr>
            </w:r>
            <w:r>
              <w:rPr>
                <w:sz w:val="16"/>
              </w:rPr>
              <w:t>OECD (2020), Innovative Citizen Participation and New Democratic Institutions: Catching the Deliberative Wave, DOI 10.1787/339306da-en.</w:t>
            </w:r>
          </w:p>
        </w:tc>
        <w:tc>
          <w:tcPr>
            <w:tcW w:type="dxa" w:w="3969"/>
            <w:tcMar>
              <w:top w:w="70" w:type="dxa"/>
              <w:start w:w="90" w:type="dxa"/>
              <w:bottom w:w="70" w:type="dxa"/>
              <w:end w:w="90" w:type="dxa"/>
            </w:tcMar>
            <w:vAlign w:val="center"/>
          </w:tcPr>
          <w:p>
            <w:pPr>
              <w:jc w:val="left"/>
            </w:pPr>
            <w:r>
              <w:rPr>
                <w:sz w:val="16"/>
              </w:rPr>
            </w:r>
            <w:r>
              <w:rPr>
                <w:sz w:val="16"/>
              </w:rPr>
              <w:t>Представительные делиберативные процессы, случайный отбор, инклюзивность, прозрачность методики и последующее действие власти.</w:t>
            </w:r>
          </w:p>
        </w:tc>
      </w:tr>
      <w:tr>
        <w:tc>
          <w:tcPr>
            <w:tcW w:type="dxa" w:w="567"/>
            <w:tcMar>
              <w:top w:w="70" w:type="dxa"/>
              <w:start w:w="90" w:type="dxa"/>
              <w:bottom w:w="70" w:type="dxa"/>
              <w:end w:w="90" w:type="dxa"/>
            </w:tcMar>
            <w:vAlign w:val="center"/>
            <w:shd w:fill="EDF3F8"/>
          </w:tcPr>
          <w:p>
            <w:pPr>
              <w:jc w:val="center"/>
            </w:pPr>
            <w:r>
              <w:rPr>
                <w:sz w:val="16"/>
              </w:rPr>
            </w:r>
            <w:r>
              <w:rPr>
                <w:sz w:val="16"/>
              </w:rPr>
              <w:t>10</w:t>
            </w:r>
          </w:p>
        </w:tc>
        <w:tc>
          <w:tcPr>
            <w:tcW w:type="dxa" w:w="4762"/>
            <w:tcMar>
              <w:top w:w="70" w:type="dxa"/>
              <w:start w:w="90" w:type="dxa"/>
              <w:bottom w:w="70" w:type="dxa"/>
              <w:end w:w="90" w:type="dxa"/>
            </w:tcMar>
            <w:vAlign w:val="center"/>
            <w:shd w:fill="EDF3F8"/>
          </w:tcPr>
          <w:p>
            <w:pPr>
              <w:jc w:val="left"/>
            </w:pPr>
            <w:r>
              <w:rPr>
                <w:sz w:val="16"/>
              </w:rPr>
            </w:r>
            <w:r>
              <w:rPr>
                <w:sz w:val="16"/>
              </w:rPr>
              <w:t>OECD Recommendation on Principles for Transparency and Integrity in Lobbying, OECD/LEGAL/0379, и последующие обзоры внедрения.</w:t>
            </w:r>
          </w:p>
        </w:tc>
        <w:tc>
          <w:tcPr>
            <w:tcW w:type="dxa" w:w="3969"/>
            <w:tcMar>
              <w:top w:w="70" w:type="dxa"/>
              <w:start w:w="90" w:type="dxa"/>
              <w:bottom w:w="70" w:type="dxa"/>
              <w:end w:w="90" w:type="dxa"/>
            </w:tcMar>
            <w:vAlign w:val="center"/>
            <w:shd w:fill="EDF3F8"/>
          </w:tcPr>
          <w:p>
            <w:pPr>
              <w:jc w:val="left"/>
            </w:pPr>
            <w:r>
              <w:rPr>
                <w:sz w:val="16"/>
              </w:rPr>
            </w:r>
            <w:r>
              <w:rPr>
                <w:sz w:val="16"/>
              </w:rPr>
              <w:t>Прозрачность существенного влияния, равный доступ, целостность взаимодействий и применимость контроля.</w:t>
            </w:r>
          </w:p>
        </w:tc>
      </w:tr>
      <w:tr>
        <w:tc>
          <w:tcPr>
            <w:tcW w:type="dxa" w:w="567"/>
            <w:tcMar>
              <w:top w:w="70" w:type="dxa"/>
              <w:start w:w="90" w:type="dxa"/>
              <w:bottom w:w="70" w:type="dxa"/>
              <w:end w:w="90" w:type="dxa"/>
            </w:tcMar>
            <w:vAlign w:val="center"/>
          </w:tcPr>
          <w:p>
            <w:pPr>
              <w:jc w:val="center"/>
            </w:pPr>
            <w:r>
              <w:rPr>
                <w:sz w:val="16"/>
              </w:rPr>
            </w:r>
            <w:r>
              <w:rPr>
                <w:sz w:val="16"/>
              </w:rPr>
              <w:t>11</w:t>
            </w:r>
          </w:p>
        </w:tc>
        <w:tc>
          <w:tcPr>
            <w:tcW w:type="dxa" w:w="4762"/>
            <w:tcMar>
              <w:top w:w="70" w:type="dxa"/>
              <w:start w:w="90" w:type="dxa"/>
              <w:bottom w:w="70" w:type="dxa"/>
              <w:end w:w="90" w:type="dxa"/>
            </w:tcMar>
            <w:vAlign w:val="center"/>
          </w:tcPr>
          <w:p>
            <w:pPr>
              <w:jc w:val="left"/>
            </w:pPr>
            <w:r>
              <w:rPr>
                <w:sz w:val="16"/>
              </w:rPr>
            </w:r>
            <w:r>
              <w:rPr>
                <w:sz w:val="16"/>
              </w:rPr>
              <w:t>NIST SP 800-63-4, Digital Identity Guidelines, и SP 800-63A/B/C-4, июль 2025; DOI 10.6028/NIST.SP.800-63-4.</w:t>
            </w:r>
          </w:p>
        </w:tc>
        <w:tc>
          <w:tcPr>
            <w:tcW w:type="dxa" w:w="3969"/>
            <w:tcMar>
              <w:top w:w="70" w:type="dxa"/>
              <w:start w:w="90" w:type="dxa"/>
              <w:bottom w:w="70" w:type="dxa"/>
              <w:end w:w="90" w:type="dxa"/>
            </w:tcMar>
            <w:vAlign w:val="center"/>
          </w:tcPr>
          <w:p>
            <w:pPr>
              <w:jc w:val="left"/>
            </w:pPr>
            <w:r>
              <w:rPr>
                <w:sz w:val="16"/>
              </w:rPr>
            </w:r>
            <w:r>
              <w:rPr>
                <w:sz w:val="16"/>
              </w:rPr>
              <w:t>Проверка личности, аутентификация, федерация, риск-ориентированность, безопасность, приватность и удобство цифровой идентичности.</w:t>
            </w:r>
          </w:p>
        </w:tc>
      </w:tr>
      <w:tr>
        <w:tc>
          <w:tcPr>
            <w:tcW w:type="dxa" w:w="567"/>
            <w:tcMar>
              <w:top w:w="70" w:type="dxa"/>
              <w:start w:w="90" w:type="dxa"/>
              <w:bottom w:w="70" w:type="dxa"/>
              <w:end w:w="90" w:type="dxa"/>
            </w:tcMar>
            <w:vAlign w:val="center"/>
            <w:shd w:fill="EDF3F8"/>
          </w:tcPr>
          <w:p>
            <w:pPr>
              <w:jc w:val="center"/>
            </w:pPr>
            <w:r>
              <w:rPr>
                <w:sz w:val="16"/>
              </w:rPr>
            </w:r>
            <w:r>
              <w:rPr>
                <w:sz w:val="16"/>
              </w:rPr>
              <w:t>12</w:t>
            </w:r>
          </w:p>
        </w:tc>
        <w:tc>
          <w:tcPr>
            <w:tcW w:type="dxa" w:w="4762"/>
            <w:tcMar>
              <w:top w:w="70" w:type="dxa"/>
              <w:start w:w="90" w:type="dxa"/>
              <w:bottom w:w="70" w:type="dxa"/>
              <w:end w:w="90" w:type="dxa"/>
            </w:tcMar>
            <w:vAlign w:val="center"/>
            <w:shd w:fill="EDF3F8"/>
          </w:tcPr>
          <w:p>
            <w:pPr>
              <w:jc w:val="left"/>
            </w:pPr>
            <w:r>
              <w:rPr>
                <w:sz w:val="16"/>
              </w:rPr>
            </w:r>
            <w:r>
              <w:rPr>
                <w:sz w:val="16"/>
              </w:rPr>
              <w:t>U.S. Election Assistance Commission, Voluntary Voting System Guidelines 2.0 (VVSG 2.0).</w:t>
            </w:r>
          </w:p>
        </w:tc>
        <w:tc>
          <w:tcPr>
            <w:tcW w:type="dxa" w:w="3969"/>
            <w:tcMar>
              <w:top w:w="70" w:type="dxa"/>
              <w:start w:w="90" w:type="dxa"/>
              <w:bottom w:w="70" w:type="dxa"/>
              <w:end w:w="90" w:type="dxa"/>
            </w:tcMar>
            <w:vAlign w:val="center"/>
            <w:shd w:fill="EDF3F8"/>
          </w:tcPr>
          <w:p>
            <w:pPr>
              <w:jc w:val="left"/>
            </w:pPr>
            <w:r>
              <w:rPr>
                <w:sz w:val="16"/>
              </w:rPr>
            </w:r>
            <w:r>
              <w:rPr>
                <w:sz w:val="16"/>
              </w:rPr>
              <w:t>Программная независимость, аудитируемость, доступность, безопасность и жизненный цикл сертификации систем голосования.</w:t>
            </w:r>
          </w:p>
        </w:tc>
      </w:tr>
    </w:tbl>
    <w:p>
      <w:pPr>
        <w:pStyle w:val="Heading2"/>
        <w:keepNext/>
      </w:pPr>
      <w:r>
        <w:t>Методологическое правило использования</w:t>
      </w:r>
    </w:p>
    <w:p>
      <w:pPr>
        <w:pStyle w:val="ListBullet"/>
      </w:pPr>
      <w:r>
        <w:t>ориентир используется для выявления рисков и минимального уровня гарантий, а не для механического переноса чужого института;</w:t>
      </w:r>
    </w:p>
    <w:p>
      <w:pPr>
        <w:pStyle w:val="ListBullet"/>
      </w:pPr>
      <w:r>
        <w:t>международный стандарт не подменяет анализ конкретной конституции, распределения полномочий и судебной практики;</w:t>
      </w:r>
    </w:p>
    <w:p>
      <w:pPr>
        <w:pStyle w:val="ListBullet"/>
      </w:pPr>
      <w:r>
        <w:t>технический стандарт не доказывает безопасность конкретной реализации без независимых испытаний и сертификации;</w:t>
      </w:r>
    </w:p>
    <w:p>
      <w:pPr>
        <w:pStyle w:val="ListBullet"/>
      </w:pPr>
      <w:r>
        <w:t>отсутствие полного аналога Доктрины не считается доказательством ни её превосходства, ни её невозможности;</w:t>
      </w:r>
    </w:p>
    <w:p>
      <w:pPr>
        <w:pStyle w:val="ListBullet"/>
      </w:pPr>
      <w:r>
        <w:t>расхождение между ориентирами отражается как открытый проектный выбор с указанием остаточного риска.</w:t>
      </w:r>
    </w:p>
    <w:p>
      <w:pPr>
        <w:pStyle w:val="Heading1"/>
        <w:keepNext/>
        <w:pageBreakBefore/>
      </w:pPr>
      <w:r>
        <w:t>Финальное заключение о статусе редакции</w:t>
      </w:r>
    </w:p>
    <w:p>
      <w:pPr/>
      <w:r>
        <w:t>Настоящая редакция объединяет полный текст глав I–XXXVII, нормативную регрессионную проверку, итоговую матрицу возражений, реестр системных изменений, повторный финальный стресс-тест, аудит концептуальной неизменности и международно-правовые и методологические ориентиры.</w:t>
      </w:r>
    </w:p>
    <w:p>
      <w:pPr/>
      <w:r>
        <w:t>После повторного полного прохода проведены сквозная терминологическая гармонизация; разграничение общественного поручения, общественного мандата, декларации, программы, реестра, отчёта и оценки; согласование кандидатского режима со свободой политического высказывания; унификация реестра подотчётной реализации; аудит структуры заголовков, оглавления, перекрёстных ссылок и приложений; правозащитная и цифровая регрессия; проверка статуса документа и пределов его окончательности.</w:t>
      </w:r>
    </w:p>
    <w:p>
      <w:pPr/>
      <w:r>
        <w:t>В пределах универсальной модели не выявлено известного внутреннего противоречия, препятствующего использованию текста как единого первоисточника для последующей международной, академической и национальной работы. Существенные возражения стресс-теста либо устранены архитектурно, либо ограничены работающими процедурами; объективно неустранимые риски обозначены прямо и не скрываются.</w:t>
      </w:r>
    </w:p>
    <w:p>
      <w:pPr/>
      <w:r>
        <w:t>Сохраняются остаточные риски, которые не могут быть обнулены универсальным текстом: социальное неравенство участия; популистская мобилизация; изменение обстоятельств; давление при удалённом участии; корреляция метаданных; конфликт прозрачности и законной секретности; одновременный захват конституционных институтов; отсутствие универсальных числовых параметров до пилотирования. Для каждого риска установлены пределы, безопасный отказ, требования к доказательствам либо правило национальной адаптации.</w:t>
      </w:r>
    </w:p>
    <w:p>
      <w:pPr/>
      <w:r>
        <w:t>Концептуальное ядро сохранено без изменения: общество определяет цели; государство определяет способы; ответственность разделена; результат общий. Доктрина не подменена обычной предвыборной программой, необязательной консультацией, государственным опросом, экспертным управлением или механизмом разрушения существующего конституционного порядка.</w:t>
      </w:r>
    </w:p>
    <w:p>
      <w:pPr/>
      <w:r>
        <w:t>Настоящий текст завершает универсальный цикл редакции 2.1. Национальные профили, пилоты, технические реализации, переводы и академические комментарии являются следующими самостоятельными документами. Любое изменение универсального текста после выпуска оформляется как новая версия с реестром изменений, повторным стресс-тестом и доказательством сохранения концептуального ядра.</w:t>
      </w:r>
    </w:p>
    <w:p>
      <w:pPr>
        <w:keepNext w:val="0"/>
        <w:keepLines/>
        <w:spacing w:before="360" w:after="240"/>
        <w:jc w:val="center"/>
      </w:pPr>
      <w:r>
        <w:rPr>
          <w:b/>
          <w:color w:val="17365D"/>
          <w:sz w:val="32"/>
        </w:rPr>
        <w:t>Это окончательная мастер-версия Доктрины 2.1.</w:t>
      </w:r>
    </w:p>
    <w:sectPr>
      <w:headerReference w:type="default" r:id="rId9"/>
      <w:footerReference w:type="default" r:id="rId10"/>
      <w:headerReference w:type="first" r:id="rId11"/>
      <w:headerReference w:type="even" r:id="rId12"/>
      <w:footerReference w:type="first" r:id="rId13"/>
      <w:pgSz w:w="11906" w:h="16838"/>
      <w:pgMar w:top="935" w:right="935" w:bottom="879"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rlito" w:hAnsi="Carlito"/>
        <w:color w:val="5B6573"/>
        <w:sz w:val="16"/>
      </w:rPr>
    </w:r>
    <w:r>
      <w:rPr>
        <w:color w:val="5B6573"/>
        <w:sz w:val="16"/>
      </w:rPr>
    </w:r>
    <w:r>
      <w:rPr>
        <w:color w:val="5B6573"/>
        <w:sz w:val="16"/>
      </w:rPr>
    </w:r>
    <w:r>
      <w:rPr>
        <w:color w:val="5B6573"/>
        <w:sz w:val="16"/>
      </w:rPr>
    </w:r>
    <w:r>
      <w:rPr>
        <w:color w:val="5B6573"/>
        <w:sz w:val="16"/>
      </w:rPr>
      <w:t xml:space="preserve">Доктрина общественного поручения · мастер-версия 2.1 · Страница </w:t>
    </w:r>
    <w:r>
      <w:rPr>
        <w:color w:val="5B6573"/>
        <w:sz w:val="16"/>
      </w:rPr>
      <w:fldChar w:fldCharType="begin"/>
      <w:instrText xml:space="preserve"> PAGE </w:instrText>
      <w:fldChar w:fldCharType="separate"/>
      <w:t>1</w:t>
      <w:fldChar w:fldCharType="end"/>
    </w:r>
    <w:r>
      <w:rPr>
        <w:color w:val="5B6573"/>
        <w:sz w:val="16"/>
      </w:rPr>
      <w:t xml:space="preserve"> из </w:t>
    </w:r>
    <w:r>
      <w:rPr>
        <w:color w:val="5B6573"/>
        <w:sz w:val="16"/>
      </w:rP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2" w:color="B4C6E7"/>
      </w:pBdr>
    </w:pPr>
    <w:r>
      <w:rPr>
        <w:rFonts w:ascii="Carlito" w:hAnsi="Carlito"/>
        <w:sz w:val="18"/>
      </w:rPr>
      <w:t>ДОКТРИНА ОБЩЕСТВЕННОГО ПОРУЧЕНИЯ  ·  ОКОНЧАТЕЛЬНАЯ МАСТЕР-ВЕРСИЯ 2.1</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59" w:lineRule="auto"/>
    </w:pPr>
    <w:rPr>
      <w:rFonts w:ascii="Carlito" w:hAnsi="Carlito" w:eastAsia="Carlito"/>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40" w:after="120"/>
      <w:outlineLvl w:val="0"/>
    </w:pPr>
    <w:rPr>
      <w:rFonts w:asciiTheme="majorHAnsi" w:eastAsiaTheme="majorEastAsia" w:hAnsiTheme="majorHAnsi" w:cstheme="majorBidi" w:ascii="Carlito" w:hAnsi="Carlito" w:eastAsia="Carlito"/>
      <w:b/>
      <w:bCs/>
      <w:color w:val="17365D"/>
      <w:sz w:val="33"/>
      <w:szCs w:val="28"/>
    </w:rPr>
  </w:style>
  <w:style w:type="paragraph" w:styleId="Heading2">
    <w:name w:val="heading 2"/>
    <w:basedOn w:val="Normal"/>
    <w:next w:val="Normal"/>
    <w:link w:val="Heading2Char"/>
    <w:uiPriority w:val="9"/>
    <w:unhideWhenUsed/>
    <w:qFormat/>
    <w:rsid w:val="00FC693F"/>
    <w:pPr>
      <w:keepNext/>
      <w:keepLines/>
      <w:widowControl/>
      <w:spacing w:before="160" w:after="80"/>
      <w:outlineLvl w:val="1"/>
    </w:pPr>
    <w:rPr>
      <w:rFonts w:asciiTheme="majorHAnsi" w:eastAsiaTheme="majorEastAsia" w:hAnsiTheme="majorHAnsi" w:cstheme="majorBidi" w:ascii="Carlito" w:hAnsi="Carlito" w:eastAsia="Carlito"/>
      <w:b/>
      <w:bCs/>
      <w:color w:val="1F4E79"/>
      <w:sz w:val="25"/>
      <w:szCs w:val="26"/>
    </w:rPr>
  </w:style>
  <w:style w:type="paragraph" w:styleId="Heading3">
    <w:name w:val="heading 3"/>
    <w:basedOn w:val="Normal"/>
    <w:next w:val="Normal"/>
    <w:link w:val="Heading3Char"/>
    <w:uiPriority w:val="9"/>
    <w:unhideWhenUsed/>
    <w:qFormat/>
    <w:rsid w:val="00FC693F"/>
    <w:pPr>
      <w:keepNext/>
      <w:keepLines/>
      <w:widowControl/>
      <w:spacing w:before="120" w:after="60"/>
      <w:outlineLvl w:val="2"/>
    </w:pPr>
    <w:rPr>
      <w:rFonts w:asciiTheme="majorHAnsi" w:eastAsiaTheme="majorEastAsia" w:hAnsiTheme="majorHAnsi" w:cstheme="majorBidi" w:ascii="Carlito" w:hAnsi="Carlito" w:eastAsia="Carlito"/>
      <w:b/>
      <w:bCs/>
      <w:color w:val="365F9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160" w:line="240" w:lineRule="auto" w:before="0"/>
      <w:contextualSpacing/>
    </w:pPr>
    <w:rPr>
      <w:rFonts w:asciiTheme="majorHAnsi" w:eastAsiaTheme="majorEastAsia" w:hAnsiTheme="majorHAnsi" w:cstheme="majorBidi" w:ascii="Carlito" w:hAnsi="Carlito" w:eastAsia="Carlito"/>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160"/>
    </w:pPr>
    <w:rPr>
      <w:rFonts w:asciiTheme="majorHAnsi" w:eastAsiaTheme="majorEastAsia" w:hAnsiTheme="majorHAnsi" w:cstheme="majorBidi" w:ascii="Carlito" w:hAnsi="Carlito" w:eastAsia="Carlito"/>
      <w:i/>
      <w:iCs/>
      <w:color w:val="5B6573"/>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CChapter">
    <w:name w:val="TOC Chapter"/>
    <w:basedOn w:val="Normal"/>
    <w:pPr>
      <w:tabs>
        <w:tab w:pos="9184" w:val="right" w:leader="dot"/>
      </w:tabs>
      <w:spacing w:after="24" w:line="240" w:lineRule="auto"/>
    </w:pPr>
    <w:rPr>
      <w:rFonts w:ascii="Carlito" w:hAnsi="Carlito"/>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Доктрина общественного поручения — окончательная универсальная мастер-версия 2.1</dc:title>
  <dc:subject>Финальная PRO-гармонизация и верификация универсальной редакции</dc:subject>
  <dc:creator/>
  <cp:keywords>общественное поручение; мастер-версия 2.1; универсальная доктрина</cp:keywords>
  <dc:description>Окончательная мастер-версия 2.1 после сквозной PRO-верификации.</dc:description>
  <cp:lastModifiedBy/>
  <cp:revision>1</cp:revision>
  <dcterms:created xsi:type="dcterms:W3CDTF">2013-12-23T23:15:00Z</dcterms:created>
  <dcterms:modified xsi:type="dcterms:W3CDTF">2013-12-23T23:15:00Z</dcterms:modified>
  <cp:category>Доктрина / универсальная мастер-версия</cp:category>
</cp:coreProperties>
</file>